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3E" w:rsidRPr="00B80036" w:rsidRDefault="00A5543E" w:rsidP="00F57F64"/>
    <w:p w:rsidR="00A5543E" w:rsidRPr="00B80036" w:rsidRDefault="00A5543E" w:rsidP="00F57F64"/>
    <w:p w:rsidR="00A5543E" w:rsidRPr="00B80036" w:rsidRDefault="00A5543E" w:rsidP="00F57F64"/>
    <w:p w:rsidR="00A5543E" w:rsidRPr="00B80036" w:rsidRDefault="00A5543E" w:rsidP="00F57F64"/>
    <w:p w:rsidR="00A5543E" w:rsidRPr="00B80036" w:rsidRDefault="007F4623" w:rsidP="00A5543E">
      <w:pPr>
        <w:pStyle w:val="SmallTitle"/>
        <w:rPr>
          <w:lang w:val="en-GB"/>
        </w:rPr>
      </w:pPr>
      <w:r w:rsidRPr="007F4623">
        <w:rPr>
          <w:lang w:val="en-GB"/>
        </w:rPr>
        <w:t xml:space="preserve">Public Consultation on the Development of Liquidity </w:t>
      </w:r>
      <w:r w:rsidR="00EF6718" w:rsidRPr="00EF6718">
        <w:rPr>
          <w:lang w:val="en-GB"/>
        </w:rPr>
        <w:t>Metrics:  Phase 1 – Exposure Approach</w:t>
      </w:r>
    </w:p>
    <w:p w:rsidR="00A5543E" w:rsidRPr="00B80036" w:rsidRDefault="00A5543E" w:rsidP="00A5543E">
      <w:pPr>
        <w:jc w:val="center"/>
        <w:rPr>
          <w:rFonts w:ascii="Arial" w:hAnsi="Arial" w:cs="Arial"/>
          <w:b/>
          <w:iCs/>
          <w:sz w:val="28"/>
          <w:szCs w:val="28"/>
        </w:rPr>
      </w:pPr>
    </w:p>
    <w:p w:rsidR="00392978" w:rsidRPr="00B80036" w:rsidRDefault="00392978" w:rsidP="00392978">
      <w:pPr>
        <w:jc w:val="both"/>
        <w:rPr>
          <w:lang w:eastAsia="en-GB"/>
        </w:rPr>
      </w:pPr>
      <w:r w:rsidRPr="00B80036">
        <w:rPr>
          <w:lang w:eastAsia="en-GB"/>
        </w:rPr>
        <w:t>Thank you for your interest in the public consultation on</w:t>
      </w:r>
      <w:r w:rsidR="001750BD" w:rsidRPr="00B80036">
        <w:rPr>
          <w:lang w:eastAsia="en-GB"/>
        </w:rPr>
        <w:t xml:space="preserve"> the</w:t>
      </w:r>
      <w:r w:rsidR="00D314D3" w:rsidRPr="00D314D3">
        <w:t xml:space="preserve"> </w:t>
      </w:r>
      <w:r w:rsidR="00D314D3" w:rsidRPr="00D314D3">
        <w:rPr>
          <w:lang w:eastAsia="en-GB"/>
        </w:rPr>
        <w:t>D</w:t>
      </w:r>
      <w:r w:rsidR="007F4623">
        <w:rPr>
          <w:lang w:eastAsia="en-GB"/>
        </w:rPr>
        <w:t xml:space="preserve">evelopment of Liquidity </w:t>
      </w:r>
      <w:r w:rsidR="00EF6718" w:rsidRPr="00EF6718">
        <w:rPr>
          <w:lang w:eastAsia="en-GB"/>
        </w:rPr>
        <w:t>Metrics:  Phase 1 – Exposure Approach</w:t>
      </w:r>
      <w:r w:rsidRPr="00B80036">
        <w:rPr>
          <w:lang w:eastAsia="en-GB"/>
        </w:rPr>
        <w:t xml:space="preserve">. The Consultation Tool is available on the IAIS website </w:t>
      </w:r>
      <w:r w:rsidRPr="006D6B6A">
        <w:rPr>
          <w:lang w:eastAsia="en-GB"/>
        </w:rPr>
        <w:t>from</w:t>
      </w:r>
      <w:r w:rsidR="001750BD" w:rsidRPr="006D6B6A">
        <w:rPr>
          <w:lang w:eastAsia="en-GB"/>
        </w:rPr>
        <w:t xml:space="preserve"> </w:t>
      </w:r>
      <w:r w:rsidR="00D314D3">
        <w:rPr>
          <w:lang w:eastAsia="en-GB"/>
        </w:rPr>
        <w:t>Monday</w:t>
      </w:r>
      <w:r w:rsidR="006D6B6A">
        <w:rPr>
          <w:lang w:eastAsia="en-GB"/>
        </w:rPr>
        <w:t xml:space="preserve"> </w:t>
      </w:r>
      <w:r w:rsidR="00D314D3">
        <w:rPr>
          <w:lang w:eastAsia="en-GB"/>
        </w:rPr>
        <w:t>9</w:t>
      </w:r>
      <w:r w:rsidR="001750BD" w:rsidRPr="006D6B6A">
        <w:rPr>
          <w:lang w:eastAsia="en-GB"/>
        </w:rPr>
        <w:t xml:space="preserve"> </w:t>
      </w:r>
      <w:r w:rsidR="00D314D3">
        <w:rPr>
          <w:lang w:eastAsia="en-GB"/>
        </w:rPr>
        <w:t>November</w:t>
      </w:r>
      <w:r w:rsidR="001750BD" w:rsidRPr="006D6B6A">
        <w:rPr>
          <w:lang w:eastAsia="en-GB"/>
        </w:rPr>
        <w:t xml:space="preserve"> 2020</w:t>
      </w:r>
      <w:r w:rsidR="001750BD" w:rsidRPr="00B80036">
        <w:rPr>
          <w:lang w:eastAsia="en-GB"/>
        </w:rPr>
        <w:t xml:space="preserve"> and the deadline for submitting comments is </w:t>
      </w:r>
      <w:r w:rsidR="00EF6718">
        <w:rPr>
          <w:lang w:eastAsia="en-GB"/>
        </w:rPr>
        <w:t>Sunday</w:t>
      </w:r>
      <w:r w:rsidR="006D6B6A">
        <w:rPr>
          <w:lang w:eastAsia="en-GB"/>
        </w:rPr>
        <w:t xml:space="preserve"> </w:t>
      </w:r>
      <w:r w:rsidR="00EF6718">
        <w:rPr>
          <w:lang w:eastAsia="en-GB"/>
        </w:rPr>
        <w:t>7</w:t>
      </w:r>
      <w:r w:rsidR="006D6B6A">
        <w:rPr>
          <w:lang w:eastAsia="en-GB"/>
        </w:rPr>
        <w:t xml:space="preserve"> </w:t>
      </w:r>
      <w:r w:rsidR="00005455">
        <w:rPr>
          <w:lang w:eastAsia="en-GB"/>
        </w:rPr>
        <w:t>Februa</w:t>
      </w:r>
      <w:r w:rsidR="006D6B6A">
        <w:rPr>
          <w:lang w:eastAsia="en-GB"/>
        </w:rPr>
        <w:t>ry 2021</w:t>
      </w:r>
      <w:r w:rsidRPr="00B80036">
        <w:rPr>
          <w:lang w:eastAsia="en-GB"/>
        </w:rPr>
        <w:t>.</w:t>
      </w:r>
      <w:r w:rsidR="004F0E85">
        <w:rPr>
          <w:lang w:eastAsia="en-GB"/>
        </w:rPr>
        <w:t xml:space="preserve"> </w:t>
      </w:r>
    </w:p>
    <w:p w:rsidR="00392978" w:rsidRPr="00B80036" w:rsidRDefault="00392978" w:rsidP="00392978">
      <w:pPr>
        <w:rPr>
          <w:lang w:eastAsia="en-GB"/>
        </w:rPr>
      </w:pPr>
    </w:p>
    <w:tbl>
      <w:tblPr>
        <w:tblStyle w:val="TableGrid"/>
        <w:tblW w:w="5000" w:type="pct"/>
        <w:tblLook w:val="04A0" w:firstRow="1" w:lastRow="0" w:firstColumn="1" w:lastColumn="0" w:noHBand="0" w:noVBand="1"/>
      </w:tblPr>
      <w:tblGrid>
        <w:gridCol w:w="9016"/>
      </w:tblGrid>
      <w:tr w:rsidR="00392978" w:rsidRPr="00B80036" w:rsidTr="00835098">
        <w:tc>
          <w:tcPr>
            <w:tcW w:w="5000" w:type="pct"/>
          </w:tcPr>
          <w:p w:rsidR="00392978" w:rsidRPr="00B80036" w:rsidRDefault="00392978" w:rsidP="00FB0E56">
            <w:pPr>
              <w:jc w:val="both"/>
              <w:rPr>
                <w:b/>
                <w:lang w:eastAsia="en-GB"/>
              </w:rPr>
            </w:pPr>
            <w:r w:rsidRPr="00B80036">
              <w:rPr>
                <w:b/>
                <w:lang w:eastAsia="en-GB"/>
              </w:rPr>
              <w:t xml:space="preserve">Please do not submit this document to the IAIS. All responses to the Consultation Document </w:t>
            </w:r>
            <w:proofErr w:type="gramStart"/>
            <w:r w:rsidRPr="00B80036">
              <w:rPr>
                <w:b/>
                <w:lang w:eastAsia="en-GB"/>
              </w:rPr>
              <w:t>must be made</w:t>
            </w:r>
            <w:proofErr w:type="gramEnd"/>
            <w:r w:rsidRPr="00B80036">
              <w:rPr>
                <w:b/>
                <w:lang w:eastAsia="en-GB"/>
              </w:rPr>
              <w:t xml:space="preserve"> via the Consultation Tool to enable those responses to be considered.</w:t>
            </w:r>
          </w:p>
        </w:tc>
      </w:tr>
    </w:tbl>
    <w:p w:rsidR="00392978" w:rsidRPr="00B80036" w:rsidRDefault="00392978" w:rsidP="00392978"/>
    <w:p w:rsidR="00A5543E" w:rsidRPr="00B80036" w:rsidRDefault="00A5543E" w:rsidP="00A5543E">
      <w:pPr>
        <w:rPr>
          <w:rFonts w:ascii="Arial" w:hAnsi="Arial" w:cs="Arial"/>
          <w:b/>
        </w:rPr>
      </w:pPr>
    </w:p>
    <w:p w:rsidR="00A5543E" w:rsidRPr="00B80036" w:rsidRDefault="00A5543E" w:rsidP="00A5543E">
      <w:pPr>
        <w:rPr>
          <w:rFonts w:ascii="Arial" w:hAnsi="Arial" w:cs="Arial"/>
          <w:b/>
          <w:iCs/>
        </w:rPr>
      </w:pPr>
    </w:p>
    <w:p w:rsidR="00730B99" w:rsidRPr="00B80036" w:rsidRDefault="00730B99" w:rsidP="00830F8A"/>
    <w:p w:rsidR="00830F8A" w:rsidRPr="00B80036" w:rsidRDefault="00830F8A" w:rsidP="00F57F64"/>
    <w:p w:rsidR="00830F8A" w:rsidRPr="00B80036" w:rsidRDefault="00830F8A" w:rsidP="00F57F64"/>
    <w:p w:rsidR="00830F8A" w:rsidRPr="00B80036" w:rsidRDefault="00830F8A" w:rsidP="00F57F64"/>
    <w:p w:rsidR="009B44BB" w:rsidRPr="00B80036" w:rsidRDefault="009B44BB" w:rsidP="00F57F64">
      <w:bookmarkStart w:id="0" w:name="_GoBack"/>
      <w:bookmarkEnd w:id="0"/>
    </w:p>
    <w:p w:rsidR="009B44BB" w:rsidRPr="00B80036" w:rsidRDefault="009B44BB" w:rsidP="00F57F64"/>
    <w:p w:rsidR="0062434C" w:rsidRPr="00B80036" w:rsidRDefault="0062434C">
      <w:pPr>
        <w:rPr>
          <w:rFonts w:ascii="Arial" w:eastAsiaTheme="majorEastAsia" w:hAnsi="Arial" w:cstheme="majorBidi"/>
          <w:b/>
          <w:sz w:val="26"/>
          <w:szCs w:val="32"/>
        </w:rPr>
      </w:pPr>
      <w:r w:rsidRPr="00B80036">
        <w:br w:type="page"/>
      </w:r>
    </w:p>
    <w:p w:rsidR="00A5543E" w:rsidRPr="00B80036" w:rsidRDefault="00D314D3" w:rsidP="00071445">
      <w:pPr>
        <w:pStyle w:val="Heading1withoutnumber"/>
      </w:pPr>
      <w:r>
        <w:lastRenderedPageBreak/>
        <w:t>Questions:</w:t>
      </w:r>
    </w:p>
    <w:tbl>
      <w:tblPr>
        <w:tblStyle w:val="TableGrid"/>
        <w:tblW w:w="0" w:type="auto"/>
        <w:tblLook w:val="04A0" w:firstRow="1" w:lastRow="0" w:firstColumn="1" w:lastColumn="0" w:noHBand="0" w:noVBand="1"/>
      </w:tblPr>
      <w:tblGrid>
        <w:gridCol w:w="562"/>
        <w:gridCol w:w="8454"/>
      </w:tblGrid>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w:t>
            </w:r>
          </w:p>
        </w:tc>
        <w:tc>
          <w:tcPr>
            <w:tcW w:w="8454" w:type="dxa"/>
            <w:vAlign w:val="center"/>
            <w:hideMark/>
          </w:tcPr>
          <w:p w:rsidR="003C4DAA" w:rsidRPr="00444997" w:rsidRDefault="003C4DAA" w:rsidP="00846A3C">
            <w:pPr>
              <w:spacing w:line="360" w:lineRule="auto"/>
            </w:pPr>
            <w:r w:rsidRPr="00444997">
              <w:rPr>
                <w:lang w:val="en-US"/>
              </w:rPr>
              <w:t>Do you agree with the IAIS’ plan for the development of liquidity metrics for monitoring? If not, please explain what changes you recommend and why.</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2</w:t>
            </w:r>
          </w:p>
        </w:tc>
        <w:tc>
          <w:tcPr>
            <w:tcW w:w="8454" w:type="dxa"/>
            <w:vAlign w:val="center"/>
            <w:hideMark/>
          </w:tcPr>
          <w:p w:rsidR="003C4DAA" w:rsidRPr="00444997" w:rsidRDefault="003C4DAA" w:rsidP="00846A3C">
            <w:pPr>
              <w:spacing w:line="360" w:lineRule="auto"/>
            </w:pPr>
            <w:r w:rsidRPr="00444997">
              <w:t>Should the IAIS consider any other approaches or alternatives when developing liquidity metrics? If so, please explain.</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3</w:t>
            </w:r>
          </w:p>
        </w:tc>
        <w:tc>
          <w:tcPr>
            <w:tcW w:w="8454" w:type="dxa"/>
            <w:vAlign w:val="center"/>
            <w:hideMark/>
          </w:tcPr>
          <w:p w:rsidR="003C4DAA" w:rsidRPr="00444997" w:rsidRDefault="003C4DAA" w:rsidP="00846A3C">
            <w:pPr>
              <w:spacing w:line="360" w:lineRule="auto"/>
            </w:pPr>
            <w:r w:rsidRPr="00444997">
              <w:t>Should the IAIS develop additional liquidity metrics that examine other time horizons? If so, how should these metrics differ from the proposed metric?</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4</w:t>
            </w:r>
          </w:p>
        </w:tc>
        <w:tc>
          <w:tcPr>
            <w:tcW w:w="8454" w:type="dxa"/>
            <w:vAlign w:val="center"/>
            <w:hideMark/>
          </w:tcPr>
          <w:p w:rsidR="003C4DAA" w:rsidRPr="00444997" w:rsidRDefault="003C4DAA" w:rsidP="00846A3C">
            <w:pPr>
              <w:spacing w:line="360" w:lineRule="auto"/>
            </w:pPr>
            <w:r w:rsidRPr="00444997">
              <w:t xml:space="preserve">Do you agree with the exclusion of separate accounts from the ILR? If not, how </w:t>
            </w:r>
            <w:proofErr w:type="gramStart"/>
            <w:r w:rsidRPr="00444997">
              <w:t>should separate accounts be incorporated</w:t>
            </w:r>
            <w:proofErr w:type="gramEnd"/>
            <w:r w:rsidRPr="00444997">
              <w:t>?</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5</w:t>
            </w:r>
          </w:p>
        </w:tc>
        <w:tc>
          <w:tcPr>
            <w:tcW w:w="8454" w:type="dxa"/>
            <w:vAlign w:val="center"/>
            <w:hideMark/>
          </w:tcPr>
          <w:p w:rsidR="003C4DAA" w:rsidRPr="00444997" w:rsidRDefault="003C4DAA" w:rsidP="00846A3C">
            <w:pPr>
              <w:spacing w:line="360" w:lineRule="auto"/>
            </w:pPr>
            <w:r w:rsidRPr="00444997">
              <w:rPr>
                <w:lang w:val="en-US"/>
              </w:rPr>
              <w:t>Do you agree with the proposed factors for liquidity sources? If not, please explain.</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6</w:t>
            </w:r>
          </w:p>
        </w:tc>
        <w:tc>
          <w:tcPr>
            <w:tcW w:w="8454" w:type="dxa"/>
            <w:vAlign w:val="center"/>
            <w:hideMark/>
          </w:tcPr>
          <w:p w:rsidR="003C4DAA" w:rsidRPr="00444997" w:rsidRDefault="003C4DAA" w:rsidP="00846A3C">
            <w:pPr>
              <w:spacing w:line="360" w:lineRule="auto"/>
            </w:pPr>
            <w:r w:rsidRPr="00444997">
              <w:rPr>
                <w:lang w:val="en-US"/>
              </w:rPr>
              <w:t>Do you agree with the treatment of investment funds? If not, please explain and suggest an alternative treatment.</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7</w:t>
            </w:r>
          </w:p>
        </w:tc>
        <w:tc>
          <w:tcPr>
            <w:tcW w:w="8454" w:type="dxa"/>
            <w:vAlign w:val="center"/>
            <w:hideMark/>
          </w:tcPr>
          <w:p w:rsidR="003C4DAA" w:rsidRPr="00444997" w:rsidRDefault="003C4DAA" w:rsidP="00846A3C">
            <w:pPr>
              <w:spacing w:line="360" w:lineRule="auto"/>
            </w:pPr>
            <w:r w:rsidRPr="00444997">
              <w:rPr>
                <w:lang w:val="en-US"/>
              </w:rPr>
              <w:t xml:space="preserve">Do you agree with the treatment of premiums? If not, please explain how premiums and excluded expenses </w:t>
            </w:r>
            <w:proofErr w:type="gramStart"/>
            <w:r w:rsidRPr="00444997">
              <w:rPr>
                <w:lang w:val="en-US"/>
              </w:rPr>
              <w:t>should be treated</w:t>
            </w:r>
            <w:proofErr w:type="gramEnd"/>
            <w:r w:rsidRPr="00444997">
              <w:rPr>
                <w:lang w:val="en-US"/>
              </w:rPr>
              <w:t xml:space="preserve"> in the ILR.</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8</w:t>
            </w:r>
          </w:p>
        </w:tc>
        <w:tc>
          <w:tcPr>
            <w:tcW w:w="8454" w:type="dxa"/>
            <w:vAlign w:val="center"/>
            <w:hideMark/>
          </w:tcPr>
          <w:p w:rsidR="003C4DAA" w:rsidRPr="00444997" w:rsidRDefault="003C4DAA" w:rsidP="00846A3C">
            <w:pPr>
              <w:spacing w:line="360" w:lineRule="auto"/>
            </w:pPr>
            <w:r w:rsidRPr="00444997">
              <w:rPr>
                <w:lang w:val="en-US"/>
              </w:rPr>
              <w:t xml:space="preserve">How </w:t>
            </w:r>
            <w:proofErr w:type="gramStart"/>
            <w:r w:rsidRPr="00444997">
              <w:rPr>
                <w:lang w:val="en-US"/>
              </w:rPr>
              <w:t>should instruments issued by financial institutions be treated</w:t>
            </w:r>
            <w:proofErr w:type="gramEnd"/>
            <w:r w:rsidRPr="00444997">
              <w:rPr>
                <w:lang w:val="en-US"/>
              </w:rPr>
              <w:t xml:space="preserve"> within the ILR?</w:t>
            </w:r>
          </w:p>
        </w:tc>
      </w:tr>
      <w:tr w:rsidR="003C4DAA" w:rsidRPr="00444997" w:rsidTr="00BD6714">
        <w:trPr>
          <w:trHeight w:val="900"/>
        </w:trPr>
        <w:tc>
          <w:tcPr>
            <w:tcW w:w="562" w:type="dxa"/>
            <w:noWrap/>
            <w:vAlign w:val="center"/>
            <w:hideMark/>
          </w:tcPr>
          <w:p w:rsidR="003C4DAA" w:rsidRPr="00444997" w:rsidRDefault="003C4DAA" w:rsidP="00846A3C">
            <w:pPr>
              <w:spacing w:line="360" w:lineRule="auto"/>
            </w:pPr>
            <w:r w:rsidRPr="00444997">
              <w:t>9</w:t>
            </w:r>
          </w:p>
        </w:tc>
        <w:tc>
          <w:tcPr>
            <w:tcW w:w="8454" w:type="dxa"/>
            <w:vAlign w:val="center"/>
            <w:hideMark/>
          </w:tcPr>
          <w:p w:rsidR="003C4DAA" w:rsidRPr="00444997" w:rsidRDefault="003C4DAA" w:rsidP="00846A3C">
            <w:pPr>
              <w:spacing w:line="360" w:lineRule="auto"/>
            </w:pPr>
            <w:r w:rsidRPr="00444997">
              <w:rPr>
                <w:lang w:val="en-US"/>
              </w:rPr>
              <w:t>Do you agree with the inclusion of certain encumbered assets as liquidity sources within the ILR or should the IAIS alternatively exclude these encumbered assets and measure certain the related liquidity needs on a net basis? Should any additional liquidity needs be included in the calculation because encumbered assets are included as a liquidity source?</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10</w:t>
            </w:r>
          </w:p>
        </w:tc>
        <w:tc>
          <w:tcPr>
            <w:tcW w:w="8454" w:type="dxa"/>
            <w:vAlign w:val="center"/>
            <w:hideMark/>
          </w:tcPr>
          <w:p w:rsidR="003C4DAA" w:rsidRPr="00444997" w:rsidRDefault="003C4DAA" w:rsidP="00846A3C">
            <w:pPr>
              <w:spacing w:line="360" w:lineRule="auto"/>
            </w:pPr>
            <w:r w:rsidRPr="00444997">
              <w:rPr>
                <w:lang w:val="en-US"/>
              </w:rPr>
              <w:t xml:space="preserve">Do you agree with the treatment of liquidity risk from surrenders and withdrawals from insurance products in the ILR? If not, please explain how this </w:t>
            </w:r>
            <w:proofErr w:type="gramStart"/>
            <w:r w:rsidRPr="00444997">
              <w:rPr>
                <w:lang w:val="en-US"/>
              </w:rPr>
              <w:t>could be improved</w:t>
            </w:r>
            <w:proofErr w:type="gramEnd"/>
            <w:r w:rsidRPr="00444997">
              <w:rPr>
                <w:lang w:val="en-US"/>
              </w:rPr>
              <w:t>.</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11</w:t>
            </w:r>
          </w:p>
        </w:tc>
        <w:tc>
          <w:tcPr>
            <w:tcW w:w="8454" w:type="dxa"/>
            <w:vAlign w:val="center"/>
            <w:hideMark/>
          </w:tcPr>
          <w:p w:rsidR="003C4DAA" w:rsidRPr="00444997" w:rsidRDefault="003C4DAA" w:rsidP="00846A3C">
            <w:pPr>
              <w:spacing w:line="360" w:lineRule="auto"/>
            </w:pPr>
            <w:r w:rsidRPr="00444997">
              <w:rPr>
                <w:lang w:val="en-US"/>
              </w:rPr>
              <w:t>How should the IAIS capture liquidity needs from policy loans? Should these be incorporated into the ILR or be an alternative metric?</w:t>
            </w:r>
          </w:p>
        </w:tc>
      </w:tr>
      <w:tr w:rsidR="003C4DAA" w:rsidRPr="00444997" w:rsidTr="00BD6714">
        <w:trPr>
          <w:trHeight w:val="600"/>
        </w:trPr>
        <w:tc>
          <w:tcPr>
            <w:tcW w:w="562" w:type="dxa"/>
            <w:noWrap/>
            <w:vAlign w:val="center"/>
            <w:hideMark/>
          </w:tcPr>
          <w:p w:rsidR="003C4DAA" w:rsidRPr="00444997" w:rsidRDefault="003C4DAA" w:rsidP="00846A3C">
            <w:pPr>
              <w:spacing w:line="360" w:lineRule="auto"/>
            </w:pPr>
            <w:r w:rsidRPr="00444997">
              <w:t>12</w:t>
            </w:r>
          </w:p>
        </w:tc>
        <w:tc>
          <w:tcPr>
            <w:tcW w:w="8454" w:type="dxa"/>
            <w:vAlign w:val="center"/>
            <w:hideMark/>
          </w:tcPr>
          <w:p w:rsidR="003C4DAA" w:rsidRPr="00444997" w:rsidRDefault="003C4DAA" w:rsidP="00846A3C">
            <w:pPr>
              <w:spacing w:line="360" w:lineRule="auto"/>
            </w:pPr>
            <w:r w:rsidRPr="00444997">
              <w:rPr>
                <w:lang w:val="en-US"/>
              </w:rPr>
              <w:t>Do you agree with the factors applied to retail insurance products being half of the factors applied to institutional products?  How should the factors applied to retail and institutional policies differ?</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13</w:t>
            </w:r>
          </w:p>
        </w:tc>
        <w:tc>
          <w:tcPr>
            <w:tcW w:w="8454" w:type="dxa"/>
            <w:vAlign w:val="center"/>
            <w:hideMark/>
          </w:tcPr>
          <w:p w:rsidR="003C4DAA" w:rsidRPr="00444997" w:rsidRDefault="003C4DAA" w:rsidP="00846A3C">
            <w:pPr>
              <w:spacing w:line="360" w:lineRule="auto"/>
            </w:pPr>
            <w:r w:rsidRPr="00444997">
              <w:rPr>
                <w:lang w:val="en-US"/>
              </w:rPr>
              <w:t xml:space="preserve">Do you agree with the treatment of unearned premiums in the ILR? If not, how </w:t>
            </w:r>
            <w:proofErr w:type="gramStart"/>
            <w:r w:rsidRPr="00444997">
              <w:rPr>
                <w:lang w:val="en-US"/>
              </w:rPr>
              <w:t>can it be improved</w:t>
            </w:r>
            <w:proofErr w:type="gramEnd"/>
            <w:r w:rsidRPr="00444997">
              <w:rPr>
                <w:lang w:val="en-US"/>
              </w:rPr>
              <w:t>?</w:t>
            </w:r>
          </w:p>
        </w:tc>
      </w:tr>
      <w:tr w:rsidR="003C4DAA" w:rsidRPr="00444997" w:rsidTr="00BD6714">
        <w:trPr>
          <w:trHeight w:val="600"/>
        </w:trPr>
        <w:tc>
          <w:tcPr>
            <w:tcW w:w="562" w:type="dxa"/>
            <w:noWrap/>
            <w:vAlign w:val="center"/>
            <w:hideMark/>
          </w:tcPr>
          <w:p w:rsidR="003C4DAA" w:rsidRPr="00444997" w:rsidRDefault="003C4DAA" w:rsidP="00846A3C">
            <w:pPr>
              <w:spacing w:line="360" w:lineRule="auto"/>
            </w:pPr>
            <w:r w:rsidRPr="00444997">
              <w:t>14</w:t>
            </w:r>
          </w:p>
        </w:tc>
        <w:tc>
          <w:tcPr>
            <w:tcW w:w="8454" w:type="dxa"/>
            <w:vAlign w:val="center"/>
            <w:hideMark/>
          </w:tcPr>
          <w:p w:rsidR="003C4DAA" w:rsidRPr="00444997" w:rsidRDefault="003C4DAA" w:rsidP="00846A3C">
            <w:pPr>
              <w:spacing w:line="360" w:lineRule="auto"/>
            </w:pPr>
            <w:r w:rsidRPr="00444997">
              <w:rPr>
                <w:lang w:val="en-US"/>
              </w:rPr>
              <w:t xml:space="preserve">Should the IAIS apply </w:t>
            </w:r>
            <w:proofErr w:type="spellStart"/>
            <w:r w:rsidRPr="00444997">
              <w:rPr>
                <w:lang w:val="en-US"/>
              </w:rPr>
              <w:t>standardised</w:t>
            </w:r>
            <w:proofErr w:type="spellEnd"/>
            <w:r w:rsidRPr="00444997">
              <w:rPr>
                <w:lang w:val="en-US"/>
              </w:rPr>
              <w:t xml:space="preserve"> factors to insurers projected ultimate catastrophe losses or rely on company projections for the speed of catastrophe payments and reinsurance recoveries?</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lastRenderedPageBreak/>
              <w:t>15</w:t>
            </w:r>
          </w:p>
        </w:tc>
        <w:tc>
          <w:tcPr>
            <w:tcW w:w="8454" w:type="dxa"/>
            <w:vAlign w:val="center"/>
            <w:hideMark/>
          </w:tcPr>
          <w:p w:rsidR="003C4DAA" w:rsidRPr="00444997" w:rsidRDefault="003C4DAA" w:rsidP="00846A3C">
            <w:pPr>
              <w:spacing w:line="360" w:lineRule="auto"/>
            </w:pPr>
            <w:r w:rsidRPr="00444997">
              <w:rPr>
                <w:lang w:val="en-US"/>
              </w:rPr>
              <w:t xml:space="preserve">Do you agree with the proposed treatment of catastrophe insurance claims?  If not, how </w:t>
            </w:r>
            <w:proofErr w:type="gramStart"/>
            <w:r w:rsidRPr="00444997">
              <w:rPr>
                <w:lang w:val="en-US"/>
              </w:rPr>
              <w:t>can it be improved</w:t>
            </w:r>
            <w:proofErr w:type="gramEnd"/>
            <w:r w:rsidRPr="00444997">
              <w:rPr>
                <w:lang w:val="en-US"/>
              </w:rPr>
              <w:t>?</w:t>
            </w:r>
          </w:p>
        </w:tc>
      </w:tr>
      <w:tr w:rsidR="003C4DAA" w:rsidRPr="00444997" w:rsidTr="00BD6714">
        <w:trPr>
          <w:trHeight w:val="600"/>
        </w:trPr>
        <w:tc>
          <w:tcPr>
            <w:tcW w:w="562" w:type="dxa"/>
            <w:noWrap/>
            <w:vAlign w:val="center"/>
            <w:hideMark/>
          </w:tcPr>
          <w:p w:rsidR="003C4DAA" w:rsidRPr="00444997" w:rsidRDefault="003C4DAA" w:rsidP="00846A3C">
            <w:pPr>
              <w:spacing w:line="360" w:lineRule="auto"/>
            </w:pPr>
            <w:r w:rsidRPr="00444997">
              <w:t>16</w:t>
            </w:r>
          </w:p>
        </w:tc>
        <w:tc>
          <w:tcPr>
            <w:tcW w:w="8454" w:type="dxa"/>
            <w:vAlign w:val="center"/>
            <w:hideMark/>
          </w:tcPr>
          <w:p w:rsidR="003C4DAA" w:rsidRPr="00444997" w:rsidRDefault="003C4DAA" w:rsidP="00846A3C">
            <w:pPr>
              <w:spacing w:line="360" w:lineRule="auto"/>
            </w:pPr>
            <w:r w:rsidRPr="00444997">
              <w:rPr>
                <w:lang w:val="en-US"/>
              </w:rPr>
              <w:t>Should the proposed treatment of deposit liabilities include more or less granularity?  If so, what additional dimensions (</w:t>
            </w:r>
            <w:proofErr w:type="spellStart"/>
            <w:r w:rsidRPr="00444997">
              <w:rPr>
                <w:lang w:val="en-US"/>
              </w:rPr>
              <w:t>eg</w:t>
            </w:r>
            <w:proofErr w:type="spellEnd"/>
            <w:r w:rsidRPr="00444997">
              <w:rPr>
                <w:lang w:val="en-US"/>
              </w:rPr>
              <w:t xml:space="preserve"> the presence of an effective deposit insurance scheme) </w:t>
            </w:r>
            <w:proofErr w:type="gramStart"/>
            <w:r w:rsidRPr="00444997">
              <w:rPr>
                <w:lang w:val="en-US"/>
              </w:rPr>
              <w:t>should be captured or left out</w:t>
            </w:r>
            <w:proofErr w:type="gramEnd"/>
            <w:r w:rsidRPr="00444997">
              <w:rPr>
                <w:lang w:val="en-US"/>
              </w:rPr>
              <w:t>?</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17</w:t>
            </w:r>
          </w:p>
        </w:tc>
        <w:tc>
          <w:tcPr>
            <w:tcW w:w="8454" w:type="dxa"/>
            <w:vAlign w:val="center"/>
            <w:hideMark/>
          </w:tcPr>
          <w:p w:rsidR="003C4DAA" w:rsidRPr="00444997" w:rsidRDefault="003C4DAA" w:rsidP="00846A3C">
            <w:pPr>
              <w:spacing w:line="360" w:lineRule="auto"/>
            </w:pPr>
            <w:proofErr w:type="gramStart"/>
            <w:r w:rsidRPr="00444997">
              <w:rPr>
                <w:lang w:val="en-US"/>
              </w:rPr>
              <w:t>Should the proposed factors be modified</w:t>
            </w:r>
            <w:proofErr w:type="gramEnd"/>
            <w:r w:rsidRPr="00444997">
              <w:rPr>
                <w:lang w:val="en-US"/>
              </w:rPr>
              <w:t>?  If so, please explain how and why.</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18</w:t>
            </w:r>
          </w:p>
        </w:tc>
        <w:tc>
          <w:tcPr>
            <w:tcW w:w="8454" w:type="dxa"/>
            <w:vAlign w:val="center"/>
            <w:hideMark/>
          </w:tcPr>
          <w:p w:rsidR="003C4DAA" w:rsidRPr="00444997" w:rsidRDefault="003C4DAA" w:rsidP="00846A3C">
            <w:pPr>
              <w:spacing w:line="360" w:lineRule="auto"/>
            </w:pPr>
            <w:r w:rsidRPr="00444997">
              <w:rPr>
                <w:lang w:val="en-US"/>
              </w:rPr>
              <w:t xml:space="preserve">Should insurance contracts without significant exposure to insurance events </w:t>
            </w:r>
            <w:proofErr w:type="gramStart"/>
            <w:r w:rsidRPr="00444997">
              <w:rPr>
                <w:lang w:val="en-US"/>
              </w:rPr>
              <w:t>be captured by these factors, or included with other policyholder liabilities</w:t>
            </w:r>
            <w:proofErr w:type="gramEnd"/>
            <w:r w:rsidRPr="00444997">
              <w:rPr>
                <w:lang w:val="en-US"/>
              </w:rPr>
              <w:t>?</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19</w:t>
            </w:r>
          </w:p>
        </w:tc>
        <w:tc>
          <w:tcPr>
            <w:tcW w:w="8454" w:type="dxa"/>
            <w:vAlign w:val="center"/>
            <w:hideMark/>
          </w:tcPr>
          <w:p w:rsidR="003C4DAA" w:rsidRPr="00444997" w:rsidRDefault="003C4DAA" w:rsidP="00846A3C">
            <w:pPr>
              <w:spacing w:line="360" w:lineRule="auto"/>
            </w:pPr>
            <w:r w:rsidRPr="00444997">
              <w:rPr>
                <w:lang w:val="en-US"/>
              </w:rPr>
              <w:t>Do you agree with the treatment of derivatives? If not, please explain and suggest an alternative treatment.</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20</w:t>
            </w:r>
          </w:p>
        </w:tc>
        <w:tc>
          <w:tcPr>
            <w:tcW w:w="8454" w:type="dxa"/>
            <w:vAlign w:val="center"/>
            <w:hideMark/>
          </w:tcPr>
          <w:p w:rsidR="003C4DAA" w:rsidRPr="00444997" w:rsidRDefault="003C4DAA" w:rsidP="00846A3C">
            <w:pPr>
              <w:spacing w:line="360" w:lineRule="auto"/>
            </w:pPr>
            <w:r w:rsidRPr="00444997">
              <w:rPr>
                <w:lang w:val="en-US"/>
              </w:rPr>
              <w:t xml:space="preserve">How should the ILR treat debt with financial covenants that </w:t>
            </w:r>
            <w:proofErr w:type="gramStart"/>
            <w:r w:rsidRPr="00444997">
              <w:rPr>
                <w:lang w:val="en-US"/>
              </w:rPr>
              <w:t>may be triggered</w:t>
            </w:r>
            <w:proofErr w:type="gramEnd"/>
            <w:r w:rsidRPr="00444997">
              <w:rPr>
                <w:lang w:val="en-US"/>
              </w:rPr>
              <w:t xml:space="preserve"> under stress?</w:t>
            </w:r>
          </w:p>
        </w:tc>
      </w:tr>
      <w:tr w:rsidR="003C4DAA" w:rsidRPr="00444997" w:rsidTr="00BD6714">
        <w:trPr>
          <w:trHeight w:val="300"/>
        </w:trPr>
        <w:tc>
          <w:tcPr>
            <w:tcW w:w="562" w:type="dxa"/>
            <w:noWrap/>
            <w:vAlign w:val="center"/>
            <w:hideMark/>
          </w:tcPr>
          <w:p w:rsidR="003C4DAA" w:rsidRPr="00444997" w:rsidRDefault="003C4DAA" w:rsidP="00846A3C">
            <w:pPr>
              <w:spacing w:line="360" w:lineRule="auto"/>
            </w:pPr>
            <w:r w:rsidRPr="00444997">
              <w:t>21</w:t>
            </w:r>
          </w:p>
        </w:tc>
        <w:tc>
          <w:tcPr>
            <w:tcW w:w="8454" w:type="dxa"/>
            <w:vAlign w:val="center"/>
            <w:hideMark/>
          </w:tcPr>
          <w:p w:rsidR="003C4DAA" w:rsidRPr="00444997" w:rsidRDefault="003C4DAA" w:rsidP="00846A3C">
            <w:pPr>
              <w:spacing w:line="360" w:lineRule="auto"/>
            </w:pPr>
            <w:r w:rsidRPr="00444997">
              <w:rPr>
                <w:lang w:val="en-US"/>
              </w:rPr>
              <w:t>How should the ILR assess potential liquidity needs from a downgrade?</w:t>
            </w:r>
          </w:p>
        </w:tc>
      </w:tr>
      <w:tr w:rsidR="003C4DAA" w:rsidRPr="00444997" w:rsidTr="00BD6714">
        <w:trPr>
          <w:trHeight w:val="600"/>
        </w:trPr>
        <w:tc>
          <w:tcPr>
            <w:tcW w:w="562" w:type="dxa"/>
            <w:noWrap/>
            <w:vAlign w:val="center"/>
            <w:hideMark/>
          </w:tcPr>
          <w:p w:rsidR="003C4DAA" w:rsidRPr="00444997" w:rsidRDefault="003C4DAA" w:rsidP="00846A3C">
            <w:pPr>
              <w:spacing w:line="360" w:lineRule="auto"/>
            </w:pPr>
            <w:r w:rsidRPr="00444997">
              <w:t>22</w:t>
            </w:r>
          </w:p>
        </w:tc>
        <w:tc>
          <w:tcPr>
            <w:tcW w:w="8454" w:type="dxa"/>
            <w:vAlign w:val="center"/>
            <w:hideMark/>
          </w:tcPr>
          <w:p w:rsidR="003C4DAA" w:rsidRPr="00444997" w:rsidRDefault="003C4DAA" w:rsidP="00846A3C">
            <w:pPr>
              <w:spacing w:line="360" w:lineRule="auto"/>
            </w:pPr>
            <w:r w:rsidRPr="00444997">
              <w:rPr>
                <w:lang w:val="en-US"/>
              </w:rPr>
              <w:t xml:space="preserve">Do you agree with the discussed limitations and mitigations of the ILR? What other limitations should the IAIS consider and how </w:t>
            </w:r>
            <w:proofErr w:type="gramStart"/>
            <w:r w:rsidRPr="00444997">
              <w:rPr>
                <w:lang w:val="en-US"/>
              </w:rPr>
              <w:t>can these be mitigated</w:t>
            </w:r>
            <w:proofErr w:type="gramEnd"/>
            <w:r w:rsidRPr="00444997">
              <w:rPr>
                <w:lang w:val="en-US"/>
              </w:rPr>
              <w:t xml:space="preserve"> when the IAIS monitors liquidity risk?</w:t>
            </w:r>
          </w:p>
        </w:tc>
      </w:tr>
      <w:tr w:rsidR="00846A3C" w:rsidRPr="00444997" w:rsidTr="00BD6714">
        <w:trPr>
          <w:trHeight w:val="600"/>
        </w:trPr>
        <w:tc>
          <w:tcPr>
            <w:tcW w:w="562" w:type="dxa"/>
            <w:noWrap/>
            <w:vAlign w:val="center"/>
          </w:tcPr>
          <w:p w:rsidR="00846A3C" w:rsidRPr="00444997" w:rsidRDefault="00846A3C" w:rsidP="00846A3C">
            <w:pPr>
              <w:spacing w:line="360" w:lineRule="auto"/>
            </w:pPr>
            <w:r>
              <w:t>23</w:t>
            </w:r>
          </w:p>
        </w:tc>
        <w:tc>
          <w:tcPr>
            <w:tcW w:w="8454" w:type="dxa"/>
            <w:vAlign w:val="center"/>
          </w:tcPr>
          <w:p w:rsidR="00846A3C" w:rsidRPr="00444997" w:rsidRDefault="00846A3C" w:rsidP="00846A3C">
            <w:pPr>
              <w:spacing w:line="360" w:lineRule="auto"/>
              <w:rPr>
                <w:lang w:val="en-US"/>
              </w:rPr>
            </w:pPr>
            <w:r w:rsidRPr="00846A3C">
              <w:rPr>
                <w:lang w:val="en-US"/>
              </w:rPr>
              <w:t xml:space="preserve">General comments on the Public Consultation Document on the Development of Liquidity </w:t>
            </w:r>
            <w:r w:rsidR="00B35D9D" w:rsidRPr="00B35D9D">
              <w:rPr>
                <w:lang w:val="en-US"/>
              </w:rPr>
              <w:t>Metrics:  Phase 1 – Exposure Approach</w:t>
            </w:r>
          </w:p>
        </w:tc>
      </w:tr>
    </w:tbl>
    <w:p w:rsidR="00722718" w:rsidRPr="00B80036" w:rsidRDefault="00722718" w:rsidP="007F4623"/>
    <w:sectPr w:rsidR="00722718" w:rsidRPr="00B80036" w:rsidSect="00A5543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BC" w:rsidRDefault="00D92DBC" w:rsidP="004309A5">
      <w:pPr>
        <w:spacing w:after="0" w:line="240" w:lineRule="auto"/>
      </w:pPr>
      <w:r>
        <w:separator/>
      </w:r>
    </w:p>
  </w:endnote>
  <w:endnote w:type="continuationSeparator" w:id="0">
    <w:p w:rsidR="00D92DBC" w:rsidRDefault="00D92DBC" w:rsidP="0043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4537"/>
      <w:gridCol w:w="4489"/>
    </w:tblGrid>
    <w:tr w:rsidR="00835098" w:rsidTr="00A5543E">
      <w:trPr>
        <w:cantSplit/>
        <w:trHeight w:val="240"/>
      </w:trPr>
      <w:tc>
        <w:tcPr>
          <w:tcW w:w="4521" w:type="dxa"/>
          <w:tcBorders>
            <w:bottom w:val="nil"/>
            <w:right w:val="nil"/>
          </w:tcBorders>
          <w:shd w:val="clear" w:color="auto" w:fill="auto"/>
          <w:noWrap/>
          <w:tcMar>
            <w:top w:w="120" w:type="dxa"/>
            <w:left w:w="0" w:type="dxa"/>
            <w:right w:w="0" w:type="dxa"/>
          </w:tcMar>
          <w:vAlign w:val="bottom"/>
        </w:tcPr>
        <w:p w:rsidR="001750BD" w:rsidRDefault="001750BD" w:rsidP="001750BD">
          <w:pPr>
            <w:pStyle w:val="Footer"/>
            <w:rPr>
              <w:rFonts w:cs="Arial"/>
            </w:rPr>
          </w:pPr>
          <w:r>
            <w:rPr>
              <w:rFonts w:cs="Arial"/>
            </w:rPr>
            <w:t>Public</w:t>
          </w:r>
        </w:p>
        <w:p w:rsidR="00835098" w:rsidRPr="00A5543E" w:rsidRDefault="003C4DAA" w:rsidP="001750BD">
          <w:pPr>
            <w:pStyle w:val="Footer"/>
            <w:rPr>
              <w:rFonts w:cs="Arial"/>
            </w:rPr>
          </w:pPr>
          <w:r w:rsidRPr="003C4DAA">
            <w:rPr>
              <w:rFonts w:cs="Arial"/>
            </w:rPr>
            <w:t>Public Consultation on the De</w:t>
          </w:r>
          <w:r w:rsidR="007F4623">
            <w:rPr>
              <w:rFonts w:cs="Arial"/>
            </w:rPr>
            <w:t xml:space="preserve">velopment of Liquidity </w:t>
          </w:r>
          <w:r w:rsidR="00B35D9D" w:rsidRPr="00B35D9D">
            <w:rPr>
              <w:rFonts w:cs="Arial"/>
            </w:rPr>
            <w:t>Metrics:  Phase 1 – Exposure Approach</w:t>
          </w:r>
        </w:p>
      </w:tc>
      <w:tc>
        <w:tcPr>
          <w:tcW w:w="4505" w:type="dxa"/>
          <w:tcBorders>
            <w:left w:val="nil"/>
          </w:tcBorders>
          <w:shd w:val="clear" w:color="auto" w:fill="auto"/>
          <w:tcMar>
            <w:right w:w="0" w:type="dxa"/>
          </w:tcMar>
          <w:vAlign w:val="bottom"/>
        </w:tcPr>
        <w:p w:rsidR="00835098" w:rsidRPr="00A5543E" w:rsidRDefault="00835098" w:rsidP="00A5543E">
          <w:pPr>
            <w:pStyle w:val="Footer"/>
            <w:jc w:val="right"/>
            <w:rPr>
              <w:rFonts w:ascii="Arial" w:hAnsi="Arial"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B35D9D">
            <w:rPr>
              <w:rFonts w:cs="Arial"/>
              <w:noProof/>
            </w:rPr>
            <w:t>3</w:t>
          </w:r>
          <w:r>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B35D9D">
            <w:rPr>
              <w:rFonts w:cs="Arial"/>
              <w:noProof/>
            </w:rPr>
            <w:t>3</w:t>
          </w:r>
          <w:r>
            <w:rPr>
              <w:rFonts w:cs="Arial"/>
            </w:rPr>
            <w:fldChar w:fldCharType="end"/>
          </w:r>
        </w:p>
      </w:tc>
    </w:tr>
  </w:tbl>
  <w:p w:rsidR="00835098" w:rsidRDefault="00835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left w:val="none" w:sz="0" w:space="0" w:color="auto"/>
        <w:bottom w:val="none" w:sz="0" w:space="0" w:color="auto"/>
        <w:right w:val="none" w:sz="0" w:space="0" w:color="auto"/>
      </w:tblBorders>
      <w:tblLook w:val="04A0" w:firstRow="1" w:lastRow="0" w:firstColumn="1" w:lastColumn="0" w:noHBand="0" w:noVBand="1"/>
    </w:tblPr>
    <w:tblGrid>
      <w:gridCol w:w="4537"/>
      <w:gridCol w:w="4489"/>
    </w:tblGrid>
    <w:tr w:rsidR="00835098" w:rsidTr="00A5543E">
      <w:trPr>
        <w:cantSplit/>
        <w:trHeight w:val="240"/>
      </w:trPr>
      <w:tc>
        <w:tcPr>
          <w:tcW w:w="4521" w:type="dxa"/>
          <w:tcBorders>
            <w:bottom w:val="nil"/>
            <w:right w:val="nil"/>
          </w:tcBorders>
          <w:shd w:val="clear" w:color="auto" w:fill="auto"/>
          <w:noWrap/>
          <w:tcMar>
            <w:top w:w="120" w:type="dxa"/>
            <w:left w:w="0" w:type="dxa"/>
            <w:right w:w="0" w:type="dxa"/>
          </w:tcMar>
          <w:vAlign w:val="bottom"/>
        </w:tcPr>
        <w:p w:rsidR="00835098" w:rsidRDefault="00835098" w:rsidP="00A5543E">
          <w:pPr>
            <w:pStyle w:val="Footer"/>
            <w:rPr>
              <w:rFonts w:cs="Arial"/>
            </w:rPr>
          </w:pPr>
          <w:r>
            <w:rPr>
              <w:rFonts w:cs="Arial"/>
            </w:rPr>
            <w:t>Public</w:t>
          </w:r>
        </w:p>
        <w:p w:rsidR="00835098" w:rsidRPr="00A5543E" w:rsidRDefault="003C4DAA" w:rsidP="001750BD">
          <w:pPr>
            <w:pStyle w:val="Footer"/>
            <w:rPr>
              <w:rFonts w:cs="Arial"/>
            </w:rPr>
          </w:pPr>
          <w:r w:rsidRPr="003C4DAA">
            <w:rPr>
              <w:rFonts w:cs="Arial"/>
            </w:rPr>
            <w:t>Public Consultation on the D</w:t>
          </w:r>
          <w:r w:rsidR="007F4623">
            <w:rPr>
              <w:rFonts w:cs="Arial"/>
            </w:rPr>
            <w:t xml:space="preserve">evelopment of Liquidity </w:t>
          </w:r>
          <w:r w:rsidR="00B35D9D" w:rsidRPr="00B35D9D">
            <w:rPr>
              <w:rFonts w:cs="Arial"/>
            </w:rPr>
            <w:t>Metrics:  Phase 1 – Exposure Approach</w:t>
          </w:r>
        </w:p>
      </w:tc>
      <w:tc>
        <w:tcPr>
          <w:tcW w:w="4505" w:type="dxa"/>
          <w:tcBorders>
            <w:left w:val="nil"/>
          </w:tcBorders>
          <w:shd w:val="clear" w:color="auto" w:fill="auto"/>
          <w:tcMar>
            <w:right w:w="0" w:type="dxa"/>
          </w:tcMar>
          <w:vAlign w:val="bottom"/>
        </w:tcPr>
        <w:p w:rsidR="00835098" w:rsidRPr="00A5543E" w:rsidRDefault="00835098" w:rsidP="00A5543E">
          <w:pPr>
            <w:pStyle w:val="Footer"/>
            <w:jc w:val="right"/>
            <w:rPr>
              <w:rFonts w:ascii="Arial" w:hAnsi="Arial"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B35D9D">
            <w:rPr>
              <w:rFonts w:cs="Arial"/>
              <w:noProof/>
            </w:rPr>
            <w:t>1</w:t>
          </w:r>
          <w:r>
            <w:rPr>
              <w:rFonts w:cs="Arial"/>
            </w:rPr>
            <w:fldChar w:fldCharType="end"/>
          </w:r>
          <w:r>
            <w:rPr>
              <w:rFonts w:cs="Arial"/>
            </w:rPr>
            <w:t xml:space="preserve"> of </w:t>
          </w:r>
          <w:r>
            <w:rPr>
              <w:rFonts w:cs="Arial"/>
            </w:rPr>
            <w:fldChar w:fldCharType="begin"/>
          </w:r>
          <w:r>
            <w:rPr>
              <w:rFonts w:cs="Arial"/>
            </w:rPr>
            <w:instrText xml:space="preserve"> NUMPAGES  \* MERGEFORMAT </w:instrText>
          </w:r>
          <w:r>
            <w:rPr>
              <w:rFonts w:cs="Arial"/>
            </w:rPr>
            <w:fldChar w:fldCharType="separate"/>
          </w:r>
          <w:r w:rsidR="00B35D9D">
            <w:rPr>
              <w:rFonts w:cs="Arial"/>
              <w:noProof/>
            </w:rPr>
            <w:t>3</w:t>
          </w:r>
          <w:r>
            <w:rPr>
              <w:rFonts w:cs="Arial"/>
            </w:rPr>
            <w:fldChar w:fldCharType="end"/>
          </w:r>
        </w:p>
      </w:tc>
    </w:tr>
  </w:tbl>
  <w:p w:rsidR="00835098" w:rsidRDefault="0083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BC" w:rsidRDefault="00D92DBC" w:rsidP="004309A5">
      <w:pPr>
        <w:spacing w:after="0" w:line="240" w:lineRule="auto"/>
      </w:pPr>
      <w:r>
        <w:separator/>
      </w:r>
    </w:p>
  </w:footnote>
  <w:footnote w:type="continuationSeparator" w:id="0">
    <w:p w:rsidR="00D92DBC" w:rsidRDefault="00D92DBC" w:rsidP="0043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9"/>
      <w:gridCol w:w="3437"/>
    </w:tblGrid>
    <w:tr w:rsidR="00835098" w:rsidTr="00A5543E">
      <w:trPr>
        <w:cantSplit/>
        <w:trHeight w:val="850"/>
      </w:trPr>
      <w:tc>
        <w:tcPr>
          <w:tcW w:w="3096" w:type="pct"/>
          <w:tcBorders>
            <w:bottom w:val="single" w:sz="4" w:space="0" w:color="auto"/>
          </w:tcBorders>
          <w:shd w:val="clear" w:color="auto" w:fill="auto"/>
          <w:tcMar>
            <w:left w:w="0" w:type="dxa"/>
            <w:bottom w:w="113" w:type="dxa"/>
          </w:tcMar>
        </w:tcPr>
        <w:p w:rsidR="00835098" w:rsidRDefault="00835098" w:rsidP="00A5543E">
          <w:pPr>
            <w:pStyle w:val="Header"/>
          </w:pPr>
          <w:r>
            <w:rPr>
              <w:noProof/>
              <w:lang w:eastAsia="en-GB"/>
            </w:rPr>
            <w:drawing>
              <wp:inline distT="0" distB="0" distL="0" distR="0">
                <wp:extent cx="1522988" cy="381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522988" cy="381000"/>
                        </a:xfrm>
                        <a:prstGeom prst="rect">
                          <a:avLst/>
                        </a:prstGeom>
                      </pic:spPr>
                    </pic:pic>
                  </a:graphicData>
                </a:graphic>
              </wp:inline>
            </w:drawing>
          </w:r>
        </w:p>
      </w:tc>
      <w:tc>
        <w:tcPr>
          <w:tcW w:w="1904" w:type="pct"/>
          <w:tcBorders>
            <w:bottom w:val="single" w:sz="4" w:space="0" w:color="auto"/>
          </w:tcBorders>
          <w:shd w:val="clear" w:color="auto" w:fill="auto"/>
          <w:noWrap/>
          <w:tcMar>
            <w:top w:w="142" w:type="dxa"/>
            <w:left w:w="0" w:type="dxa"/>
            <w:right w:w="0" w:type="dxa"/>
          </w:tcMar>
        </w:tcPr>
        <w:p w:rsidR="00835098" w:rsidRPr="00A5543E" w:rsidRDefault="00835098" w:rsidP="00A5543E">
          <w:pPr>
            <w:pStyle w:val="Header"/>
            <w:jc w:val="right"/>
            <w:rPr>
              <w:rFonts w:ascii="Arial" w:hAnsi="Arial" w:cs="Arial"/>
              <w:b/>
              <w:sz w:val="20"/>
            </w:rPr>
          </w:pPr>
        </w:p>
      </w:tc>
    </w:tr>
  </w:tbl>
  <w:p w:rsidR="00835098" w:rsidRDefault="00835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9"/>
      <w:gridCol w:w="2457"/>
    </w:tblGrid>
    <w:tr w:rsidR="00835098" w:rsidTr="00A5543E">
      <w:trPr>
        <w:cantSplit/>
        <w:trHeight w:val="567"/>
      </w:trPr>
      <w:tc>
        <w:tcPr>
          <w:tcW w:w="3639" w:type="pct"/>
          <w:vMerge w:val="restart"/>
          <w:shd w:val="clear" w:color="auto" w:fill="auto"/>
          <w:tcMar>
            <w:left w:w="0" w:type="dxa"/>
          </w:tcMar>
        </w:tcPr>
        <w:p w:rsidR="00835098" w:rsidRDefault="00835098" w:rsidP="00A5543E">
          <w:pPr>
            <w:pStyle w:val="Header"/>
          </w:pPr>
          <w:r>
            <w:rPr>
              <w:noProof/>
              <w:lang w:eastAsia="en-GB"/>
            </w:rPr>
            <w:drawing>
              <wp:inline distT="0" distB="0" distL="0" distR="0">
                <wp:extent cx="2999259" cy="1041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99259" cy="1041400"/>
                        </a:xfrm>
                        <a:prstGeom prst="rect">
                          <a:avLst/>
                        </a:prstGeom>
                      </pic:spPr>
                    </pic:pic>
                  </a:graphicData>
                </a:graphic>
              </wp:inline>
            </w:drawing>
          </w:r>
        </w:p>
      </w:tc>
      <w:tc>
        <w:tcPr>
          <w:tcW w:w="1361" w:type="pct"/>
          <w:shd w:val="clear" w:color="auto" w:fill="auto"/>
          <w:noWrap/>
          <w:tcMar>
            <w:left w:w="0" w:type="dxa"/>
            <w:right w:w="0" w:type="dxa"/>
          </w:tcMar>
          <w:vAlign w:val="bottom"/>
        </w:tcPr>
        <w:p w:rsidR="00835098" w:rsidRPr="00A5543E" w:rsidRDefault="00835098" w:rsidP="00A5543E">
          <w:pPr>
            <w:pStyle w:val="Header"/>
            <w:jc w:val="right"/>
            <w:rPr>
              <w:rFonts w:ascii="Arial" w:hAnsi="Arial" w:cs="Arial"/>
              <w:b/>
              <w:sz w:val="28"/>
            </w:rPr>
          </w:pPr>
          <w:r>
            <w:rPr>
              <w:rFonts w:cs="Arial"/>
              <w:b/>
              <w:sz w:val="28"/>
            </w:rPr>
            <w:t>Public</w:t>
          </w:r>
        </w:p>
      </w:tc>
    </w:tr>
    <w:tr w:rsidR="00835098" w:rsidTr="00A5543E">
      <w:trPr>
        <w:cantSplit/>
        <w:trHeight w:val="850"/>
      </w:trPr>
      <w:tc>
        <w:tcPr>
          <w:tcW w:w="3639" w:type="pct"/>
          <w:vMerge/>
          <w:shd w:val="clear" w:color="auto" w:fill="auto"/>
          <w:tcMar>
            <w:left w:w="0" w:type="dxa"/>
          </w:tcMar>
        </w:tcPr>
        <w:p w:rsidR="00835098" w:rsidRDefault="00835098">
          <w:pPr>
            <w:pStyle w:val="Header"/>
          </w:pPr>
        </w:p>
      </w:tc>
      <w:tc>
        <w:tcPr>
          <w:tcW w:w="1361" w:type="pct"/>
          <w:shd w:val="clear" w:color="auto" w:fill="auto"/>
          <w:noWrap/>
          <w:tcMar>
            <w:top w:w="142" w:type="dxa"/>
            <w:left w:w="0" w:type="dxa"/>
            <w:right w:w="0" w:type="dxa"/>
          </w:tcMar>
        </w:tcPr>
        <w:p w:rsidR="00835098" w:rsidRPr="00A5543E" w:rsidRDefault="00835098" w:rsidP="00A5543E">
          <w:pPr>
            <w:pStyle w:val="Header"/>
            <w:jc w:val="right"/>
            <w:rPr>
              <w:rFonts w:ascii="Arial" w:hAnsi="Arial" w:cs="Arial"/>
              <w:b/>
              <w:sz w:val="20"/>
            </w:rPr>
          </w:pPr>
        </w:p>
      </w:tc>
    </w:tr>
  </w:tbl>
  <w:p w:rsidR="00835098" w:rsidRDefault="0083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34A"/>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A5765"/>
    <w:multiLevelType w:val="hybridMultilevel"/>
    <w:tmpl w:val="E81C191E"/>
    <w:lvl w:ilvl="0" w:tplc="D9AC12F8">
      <w:start w:val="1"/>
      <w:numFmt w:val="decimal"/>
      <w:lvlText w:val="Q%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02DA0"/>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60E3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EC53C5"/>
    <w:multiLevelType w:val="multilevel"/>
    <w:tmpl w:val="2740188C"/>
    <w:lvl w:ilvl="0">
      <w:start w:val="1"/>
      <w:numFmt w:val="lowerLetter"/>
      <w:pStyle w:val="Numberedlist1"/>
      <w:lvlText w:val="%1."/>
      <w:lvlJc w:val="left"/>
      <w:pPr>
        <w:ind w:left="717" w:hanging="360"/>
      </w:pPr>
      <w:rPr>
        <w:rFonts w:hint="default"/>
      </w:rPr>
    </w:lvl>
    <w:lvl w:ilvl="1">
      <w:start w:val="1"/>
      <w:numFmt w:val="lowerRoman"/>
      <w:pStyle w:val="Numberedlist2"/>
      <w:lvlText w:val="%2."/>
      <w:lvlJc w:val="left"/>
      <w:pPr>
        <w:ind w:left="1440" w:hanging="360"/>
      </w:pPr>
      <w:rPr>
        <w:rFonts w:hint="default"/>
      </w:rPr>
    </w:lvl>
    <w:lvl w:ilvl="2">
      <w:start w:val="1"/>
      <w:numFmt w:val="bullet"/>
      <w:pStyle w:val="Numberedlist3"/>
      <w:lvlText w:val=""/>
      <w:lvlJc w:val="left"/>
      <w:pPr>
        <w:ind w:left="2160" w:hanging="18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B37BBB"/>
    <w:multiLevelType w:val="multilevel"/>
    <w:tmpl w:val="334C7716"/>
    <w:styleLink w:val="Style1"/>
    <w:lvl w:ilvl="0">
      <w:start w:val="1"/>
      <w:numFmt w:val="lowerRoman"/>
      <w:lvlText w:val="%1."/>
      <w:lvlJc w:val="right"/>
      <w:pPr>
        <w:ind w:left="1800" w:hanging="360"/>
      </w:pPr>
      <w:rPr>
        <w:rFonts w:hint="default"/>
      </w:rPr>
    </w:lvl>
    <w:lvl w:ilvl="1">
      <w:start w:val="1"/>
      <w:numFmt w:val="lowerLetter"/>
      <w:lvlText w:val="%2."/>
      <w:lvlJc w:val="left"/>
      <w:pPr>
        <w:ind w:left="2520" w:hanging="360"/>
      </w:pPr>
    </w:lvl>
    <w:lvl w:ilvl="2">
      <w:start w:val="1"/>
      <w:numFmt w:val="none"/>
      <w:lvlText w:val="%3."/>
      <w:lvlJc w:val="right"/>
      <w:pPr>
        <w:ind w:left="3240" w:hanging="180"/>
      </w:pPr>
    </w:lvl>
    <w:lvl w:ilvl="3">
      <w:start w:val="1"/>
      <w:numFmt w:val="none"/>
      <w:lvlText w:val="%4."/>
      <w:lvlJc w:val="left"/>
      <w:pPr>
        <w:ind w:left="3960" w:hanging="360"/>
      </w:pPr>
    </w:lvl>
    <w:lvl w:ilvl="4">
      <w:start w:val="1"/>
      <w:numFmt w:val="none"/>
      <w:lvlText w:val="%5."/>
      <w:lvlJc w:val="left"/>
      <w:pPr>
        <w:ind w:left="4680" w:hanging="360"/>
      </w:pPr>
    </w:lvl>
    <w:lvl w:ilvl="5">
      <w:start w:val="1"/>
      <w:numFmt w:val="none"/>
      <w:lvlText w:val="%6."/>
      <w:lvlJc w:val="right"/>
      <w:pPr>
        <w:ind w:left="5400" w:hanging="180"/>
      </w:pPr>
    </w:lvl>
    <w:lvl w:ilvl="6">
      <w:start w:val="1"/>
      <w:numFmt w:val="none"/>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B8858FE"/>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A60CAD"/>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B7B4A"/>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C44D9F"/>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DCC084A"/>
    <w:multiLevelType w:val="hybridMultilevel"/>
    <w:tmpl w:val="DCB4A3FA"/>
    <w:lvl w:ilvl="0" w:tplc="20968904">
      <w:start w:val="1"/>
      <w:numFmt w:val="bullet"/>
      <w:pStyle w:val="ListParagraph"/>
      <w:lvlText w:val=""/>
      <w:lvlJc w:val="left"/>
      <w:pPr>
        <w:ind w:left="720" w:hanging="360"/>
      </w:pPr>
      <w:rPr>
        <w:rFonts w:ascii="Symbol" w:hAnsi="Symbol" w:hint="default"/>
      </w:rPr>
    </w:lvl>
    <w:lvl w:ilvl="1" w:tplc="0DCEFDFA">
      <w:start w:val="1"/>
      <w:numFmt w:val="bullet"/>
      <w:pStyle w:val="List2nd"/>
      <w:lvlText w:val="o"/>
      <w:lvlJc w:val="left"/>
      <w:pPr>
        <w:ind w:left="1440" w:hanging="360"/>
      </w:pPr>
      <w:rPr>
        <w:rFonts w:ascii="Courier New" w:hAnsi="Courier New" w:cs="Courier New" w:hint="default"/>
      </w:rPr>
    </w:lvl>
    <w:lvl w:ilvl="2" w:tplc="1B4C8012">
      <w:start w:val="1"/>
      <w:numFmt w:val="bullet"/>
      <w:pStyle w:val="List3rd"/>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E3F66"/>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D33210"/>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1116E2"/>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B04852"/>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F7D8E"/>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7637E5"/>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B50DF"/>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8B6E6A"/>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A356E2"/>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234027"/>
    <w:multiLevelType w:val="hybridMultilevel"/>
    <w:tmpl w:val="1E8C6044"/>
    <w:lvl w:ilvl="0" w:tplc="81DAF966">
      <w:start w:val="1"/>
      <w:numFmt w:val="decimal"/>
      <w:pStyle w:val="Annextitle"/>
      <w:lvlText w:val="Annex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69675535"/>
    <w:multiLevelType w:val="multilevel"/>
    <w:tmpl w:val="8654A856"/>
    <w:lvl w:ilvl="0">
      <w:start w:val="1"/>
      <w:numFmt w:val="decimal"/>
      <w:lvlText w:val="Q%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FF11B1"/>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2916F00"/>
    <w:multiLevelType w:val="multilevel"/>
    <w:tmpl w:val="C9F091BC"/>
    <w:lvl w:ilvl="0">
      <w:start w:val="1"/>
      <w:numFmt w:val="decimal"/>
      <w:lvlText w:val="Q%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FC86605"/>
    <w:multiLevelType w:val="hybridMultilevel"/>
    <w:tmpl w:val="63B23B6A"/>
    <w:lvl w:ilvl="0" w:tplc="A52C30CE">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0"/>
  </w:num>
  <w:num w:numId="5">
    <w:abstractNumId w:val="20"/>
  </w:num>
  <w:num w:numId="6">
    <w:abstractNumId w:val="24"/>
  </w:num>
  <w:num w:numId="7">
    <w:abstractNumId w:val="17"/>
  </w:num>
  <w:num w:numId="8">
    <w:abstractNumId w:val="9"/>
  </w:num>
  <w:num w:numId="9">
    <w:abstractNumId w:val="13"/>
  </w:num>
  <w:num w:numId="10">
    <w:abstractNumId w:val="12"/>
  </w:num>
  <w:num w:numId="11">
    <w:abstractNumId w:val="23"/>
  </w:num>
  <w:num w:numId="12">
    <w:abstractNumId w:val="22"/>
  </w:num>
  <w:num w:numId="13">
    <w:abstractNumId w:val="10"/>
  </w:num>
  <w:num w:numId="14">
    <w:abstractNumId w:val="10"/>
  </w:num>
  <w:num w:numId="15">
    <w:abstractNumId w:val="11"/>
  </w:num>
  <w:num w:numId="16">
    <w:abstractNumId w:val="19"/>
  </w:num>
  <w:num w:numId="17">
    <w:abstractNumId w:val="14"/>
  </w:num>
  <w:num w:numId="18">
    <w:abstractNumId w:val="0"/>
  </w:num>
  <w:num w:numId="19">
    <w:abstractNumId w:val="15"/>
  </w:num>
  <w:num w:numId="20">
    <w:abstractNumId w:val="7"/>
  </w:num>
  <w:num w:numId="21">
    <w:abstractNumId w:val="8"/>
  </w:num>
  <w:num w:numId="22">
    <w:abstractNumId w:val="2"/>
  </w:num>
  <w:num w:numId="23">
    <w:abstractNumId w:val="16"/>
  </w:num>
  <w:num w:numId="24">
    <w:abstractNumId w:val="21"/>
  </w:num>
  <w:num w:numId="25">
    <w:abstractNumId w:val="18"/>
  </w:num>
  <w:num w:numId="26">
    <w:abstractNumId w:val="10"/>
  </w:num>
  <w:num w:numId="27">
    <w:abstractNumId w:val="10"/>
  </w:num>
  <w:num w:numId="28">
    <w:abstractNumId w:val="6"/>
  </w:num>
  <w:num w:numId="29">
    <w:abstractNumId w:val="10"/>
  </w:num>
  <w:num w:numId="3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fidentiality" w:val="public"/>
  </w:docVars>
  <w:rsids>
    <w:rsidRoot w:val="0065289C"/>
    <w:rsid w:val="000035AB"/>
    <w:rsid w:val="00005455"/>
    <w:rsid w:val="000078AF"/>
    <w:rsid w:val="0004027E"/>
    <w:rsid w:val="00055BF0"/>
    <w:rsid w:val="00060C34"/>
    <w:rsid w:val="000628D9"/>
    <w:rsid w:val="00065353"/>
    <w:rsid w:val="00071445"/>
    <w:rsid w:val="0007207A"/>
    <w:rsid w:val="000931D7"/>
    <w:rsid w:val="000C6CD8"/>
    <w:rsid w:val="000D78BB"/>
    <w:rsid w:val="001173AB"/>
    <w:rsid w:val="00136887"/>
    <w:rsid w:val="001519AF"/>
    <w:rsid w:val="001614F3"/>
    <w:rsid w:val="001750BD"/>
    <w:rsid w:val="0018614F"/>
    <w:rsid w:val="001A25D1"/>
    <w:rsid w:val="00200C09"/>
    <w:rsid w:val="002139D1"/>
    <w:rsid w:val="0021640B"/>
    <w:rsid w:val="002230E8"/>
    <w:rsid w:val="002668CA"/>
    <w:rsid w:val="00293091"/>
    <w:rsid w:val="002B5032"/>
    <w:rsid w:val="00337440"/>
    <w:rsid w:val="0034072D"/>
    <w:rsid w:val="00343561"/>
    <w:rsid w:val="00344DC0"/>
    <w:rsid w:val="003577F6"/>
    <w:rsid w:val="00380750"/>
    <w:rsid w:val="00392978"/>
    <w:rsid w:val="003B16A6"/>
    <w:rsid w:val="003C4DAA"/>
    <w:rsid w:val="004309A5"/>
    <w:rsid w:val="00433E25"/>
    <w:rsid w:val="00461767"/>
    <w:rsid w:val="00461D5F"/>
    <w:rsid w:val="004A4DF5"/>
    <w:rsid w:val="004C5F57"/>
    <w:rsid w:val="004E1FA0"/>
    <w:rsid w:val="004E2460"/>
    <w:rsid w:val="004F0E85"/>
    <w:rsid w:val="004F75D3"/>
    <w:rsid w:val="00540DBC"/>
    <w:rsid w:val="00545E83"/>
    <w:rsid w:val="00576D00"/>
    <w:rsid w:val="005A2E8D"/>
    <w:rsid w:val="005A3373"/>
    <w:rsid w:val="005E1616"/>
    <w:rsid w:val="005F6B54"/>
    <w:rsid w:val="006171F2"/>
    <w:rsid w:val="0062434C"/>
    <w:rsid w:val="0065289C"/>
    <w:rsid w:val="00677764"/>
    <w:rsid w:val="006C378E"/>
    <w:rsid w:val="006C438B"/>
    <w:rsid w:val="006D6B6A"/>
    <w:rsid w:val="006E20A8"/>
    <w:rsid w:val="00712C66"/>
    <w:rsid w:val="00722718"/>
    <w:rsid w:val="00722D2A"/>
    <w:rsid w:val="00724B9C"/>
    <w:rsid w:val="00730B99"/>
    <w:rsid w:val="007354B5"/>
    <w:rsid w:val="00751436"/>
    <w:rsid w:val="007673C5"/>
    <w:rsid w:val="00767D7C"/>
    <w:rsid w:val="007710EC"/>
    <w:rsid w:val="00781070"/>
    <w:rsid w:val="007918D5"/>
    <w:rsid w:val="00791C24"/>
    <w:rsid w:val="007A34AB"/>
    <w:rsid w:val="007B5466"/>
    <w:rsid w:val="007D2AA9"/>
    <w:rsid w:val="007D2AD2"/>
    <w:rsid w:val="007D722B"/>
    <w:rsid w:val="007E5BE2"/>
    <w:rsid w:val="007F4623"/>
    <w:rsid w:val="00805BF4"/>
    <w:rsid w:val="00816A3F"/>
    <w:rsid w:val="00830F8A"/>
    <w:rsid w:val="00833C7D"/>
    <w:rsid w:val="00835098"/>
    <w:rsid w:val="00836B20"/>
    <w:rsid w:val="008406F0"/>
    <w:rsid w:val="00846A3C"/>
    <w:rsid w:val="00864DC2"/>
    <w:rsid w:val="00866906"/>
    <w:rsid w:val="00875978"/>
    <w:rsid w:val="00884487"/>
    <w:rsid w:val="008E40D3"/>
    <w:rsid w:val="008F2ED2"/>
    <w:rsid w:val="008F38B6"/>
    <w:rsid w:val="00900EC4"/>
    <w:rsid w:val="00905EFD"/>
    <w:rsid w:val="0091398D"/>
    <w:rsid w:val="00915057"/>
    <w:rsid w:val="00916E30"/>
    <w:rsid w:val="009205C6"/>
    <w:rsid w:val="00924AC2"/>
    <w:rsid w:val="0094163C"/>
    <w:rsid w:val="00961963"/>
    <w:rsid w:val="0096707B"/>
    <w:rsid w:val="0098545C"/>
    <w:rsid w:val="00986827"/>
    <w:rsid w:val="009B44BB"/>
    <w:rsid w:val="009B4953"/>
    <w:rsid w:val="009C2FDE"/>
    <w:rsid w:val="009D4121"/>
    <w:rsid w:val="009F51B2"/>
    <w:rsid w:val="00A43B95"/>
    <w:rsid w:val="00A5151B"/>
    <w:rsid w:val="00A545E1"/>
    <w:rsid w:val="00A5543E"/>
    <w:rsid w:val="00A614D5"/>
    <w:rsid w:val="00AA359F"/>
    <w:rsid w:val="00AA3DE5"/>
    <w:rsid w:val="00AB2EE1"/>
    <w:rsid w:val="00AF792A"/>
    <w:rsid w:val="00B24A7B"/>
    <w:rsid w:val="00B35D9D"/>
    <w:rsid w:val="00B631B3"/>
    <w:rsid w:val="00B80036"/>
    <w:rsid w:val="00BD1346"/>
    <w:rsid w:val="00C13028"/>
    <w:rsid w:val="00C351AA"/>
    <w:rsid w:val="00CB474B"/>
    <w:rsid w:val="00CC381B"/>
    <w:rsid w:val="00D15886"/>
    <w:rsid w:val="00D314D3"/>
    <w:rsid w:val="00D40431"/>
    <w:rsid w:val="00D66110"/>
    <w:rsid w:val="00D750E4"/>
    <w:rsid w:val="00D92DBC"/>
    <w:rsid w:val="00D930C7"/>
    <w:rsid w:val="00DC185B"/>
    <w:rsid w:val="00DF07F9"/>
    <w:rsid w:val="00DF38AC"/>
    <w:rsid w:val="00E2602B"/>
    <w:rsid w:val="00E2618B"/>
    <w:rsid w:val="00E92F2E"/>
    <w:rsid w:val="00EA23C9"/>
    <w:rsid w:val="00EB0D1C"/>
    <w:rsid w:val="00EE2B92"/>
    <w:rsid w:val="00EF6718"/>
    <w:rsid w:val="00F014EE"/>
    <w:rsid w:val="00F265B2"/>
    <w:rsid w:val="00F57F64"/>
    <w:rsid w:val="00F85980"/>
    <w:rsid w:val="00F94153"/>
    <w:rsid w:val="00F9508A"/>
    <w:rsid w:val="00FB0E56"/>
    <w:rsid w:val="00FC1291"/>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0F1AA"/>
  <w15:chartTrackingRefBased/>
  <w15:docId w15:val="{18D078EE-D448-4FC4-B225-C88AA91D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0"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3E"/>
  </w:style>
  <w:style w:type="paragraph" w:styleId="Heading1">
    <w:name w:val="heading 1"/>
    <w:next w:val="Normal"/>
    <w:link w:val="Heading1Char"/>
    <w:uiPriority w:val="9"/>
    <w:qFormat/>
    <w:rsid w:val="00900EC4"/>
    <w:pPr>
      <w:keepNext/>
      <w:keepLines/>
      <w:numPr>
        <w:numId w:val="1"/>
      </w:numPr>
      <w:suppressAutoHyphens/>
      <w:spacing w:before="360" w:after="120"/>
      <w:ind w:left="431" w:hanging="431"/>
      <w:outlineLvl w:val="0"/>
    </w:pPr>
    <w:rPr>
      <w:rFonts w:ascii="Arial" w:eastAsiaTheme="majorEastAsia" w:hAnsi="Arial" w:cstheme="majorBidi"/>
      <w:b/>
      <w:sz w:val="26"/>
      <w:szCs w:val="32"/>
    </w:rPr>
  </w:style>
  <w:style w:type="paragraph" w:styleId="Heading2">
    <w:name w:val="heading 2"/>
    <w:next w:val="Normal"/>
    <w:link w:val="Heading2Char"/>
    <w:uiPriority w:val="9"/>
    <w:qFormat/>
    <w:rsid w:val="00900EC4"/>
    <w:pPr>
      <w:keepNext/>
      <w:keepLines/>
      <w:numPr>
        <w:ilvl w:val="1"/>
        <w:numId w:val="1"/>
      </w:numPr>
      <w:suppressAutoHyphens/>
      <w:spacing w:before="160" w:after="120"/>
      <w:ind w:left="1298" w:hanging="578"/>
      <w:outlineLvl w:val="1"/>
    </w:pPr>
    <w:rPr>
      <w:rFonts w:ascii="Arial" w:eastAsiaTheme="majorEastAsia" w:hAnsi="Arial" w:cstheme="majorBidi"/>
      <w:b/>
      <w:szCs w:val="26"/>
    </w:rPr>
  </w:style>
  <w:style w:type="paragraph" w:styleId="Heading3">
    <w:name w:val="heading 3"/>
    <w:next w:val="Normal"/>
    <w:link w:val="Heading3Char"/>
    <w:uiPriority w:val="9"/>
    <w:qFormat/>
    <w:rsid w:val="00900EC4"/>
    <w:pPr>
      <w:keepNext/>
      <w:keepLines/>
      <w:numPr>
        <w:ilvl w:val="2"/>
        <w:numId w:val="1"/>
      </w:numPr>
      <w:suppressAutoHyphens/>
      <w:spacing w:before="160" w:after="120"/>
      <w:ind w:left="2160"/>
      <w:outlineLvl w:val="2"/>
    </w:pPr>
    <w:rPr>
      <w:rFonts w:ascii="Arial" w:eastAsiaTheme="majorEastAsia" w:hAnsi="Arial" w:cstheme="majorBidi"/>
      <w:b/>
      <w:i/>
      <w:szCs w:val="24"/>
    </w:rPr>
  </w:style>
  <w:style w:type="paragraph" w:styleId="Heading4">
    <w:name w:val="heading 4"/>
    <w:basedOn w:val="Normal"/>
    <w:next w:val="Normal"/>
    <w:link w:val="Heading4Char"/>
    <w:uiPriority w:val="9"/>
    <w:unhideWhenUsed/>
    <w:qFormat/>
    <w:rsid w:val="00900EC4"/>
    <w:pPr>
      <w:keepNext/>
      <w:keepLines/>
      <w:numPr>
        <w:ilvl w:val="3"/>
        <w:numId w:val="1"/>
      </w:numPr>
      <w:spacing w:before="160"/>
      <w:ind w:left="3022" w:hanging="862"/>
      <w:outlineLvl w:val="3"/>
    </w:pPr>
    <w:rPr>
      <w:rFonts w:eastAsiaTheme="majorEastAsia" w:cstheme="majorBidi"/>
      <w:i/>
      <w:iCs/>
    </w:rPr>
  </w:style>
  <w:style w:type="paragraph" w:styleId="Heading5">
    <w:name w:val="heading 5"/>
    <w:basedOn w:val="Normal"/>
    <w:next w:val="Normal"/>
    <w:link w:val="Heading5Char"/>
    <w:uiPriority w:val="9"/>
    <w:unhideWhenUsed/>
    <w:qFormat/>
    <w:rsid w:val="00900EC4"/>
    <w:pPr>
      <w:outlineLvl w:val="4"/>
    </w:pPr>
    <w:rPr>
      <w:rFonts w:cs="Arial"/>
      <w:u w:val="single"/>
    </w:rPr>
  </w:style>
  <w:style w:type="paragraph" w:styleId="Heading6">
    <w:name w:val="heading 6"/>
    <w:basedOn w:val="Normal"/>
    <w:next w:val="Normal"/>
    <w:link w:val="Heading6Char"/>
    <w:uiPriority w:val="9"/>
    <w:semiHidden/>
    <w:unhideWhenUsed/>
    <w:qFormat/>
    <w:rsid w:val="00F9508A"/>
    <w:pPr>
      <w:keepNext/>
      <w:keepLines/>
      <w:numPr>
        <w:ilvl w:val="5"/>
        <w:numId w:val="1"/>
      </w:numPr>
      <w:spacing w:before="40" w:after="0"/>
      <w:outlineLvl w:val="5"/>
    </w:pPr>
    <w:rPr>
      <w:rFonts w:asciiTheme="majorHAnsi" w:eastAsiaTheme="majorEastAsia" w:hAnsiTheme="majorHAnsi" w:cstheme="majorBidi"/>
      <w:color w:val="1D3555" w:themeColor="accent1" w:themeShade="7F"/>
    </w:rPr>
  </w:style>
  <w:style w:type="paragraph" w:styleId="Heading7">
    <w:name w:val="heading 7"/>
    <w:basedOn w:val="Normal"/>
    <w:next w:val="Normal"/>
    <w:link w:val="Heading7Char"/>
    <w:uiPriority w:val="9"/>
    <w:semiHidden/>
    <w:unhideWhenUsed/>
    <w:qFormat/>
    <w:rsid w:val="00F9508A"/>
    <w:pPr>
      <w:keepNext/>
      <w:keepLines/>
      <w:numPr>
        <w:ilvl w:val="6"/>
        <w:numId w:val="1"/>
      </w:numPr>
      <w:spacing w:before="40" w:after="0"/>
      <w:outlineLvl w:val="6"/>
    </w:pPr>
    <w:rPr>
      <w:rFonts w:asciiTheme="majorHAnsi" w:eastAsiaTheme="majorEastAsia" w:hAnsiTheme="majorHAnsi" w:cstheme="majorBidi"/>
      <w:i/>
      <w:iCs/>
      <w:color w:val="1D3555" w:themeColor="accent1" w:themeShade="7F"/>
    </w:rPr>
  </w:style>
  <w:style w:type="paragraph" w:styleId="Heading8">
    <w:name w:val="heading 8"/>
    <w:basedOn w:val="Normal"/>
    <w:next w:val="Normal"/>
    <w:link w:val="Heading8Char"/>
    <w:uiPriority w:val="9"/>
    <w:semiHidden/>
    <w:unhideWhenUsed/>
    <w:qFormat/>
    <w:rsid w:val="00F950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50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9A5"/>
  </w:style>
  <w:style w:type="paragraph" w:styleId="Footer">
    <w:name w:val="footer"/>
    <w:basedOn w:val="Normal"/>
    <w:link w:val="FooterChar"/>
    <w:uiPriority w:val="99"/>
    <w:qFormat/>
    <w:rsid w:val="00900EC4"/>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900EC4"/>
    <w:rPr>
      <w:rFonts w:ascii="Arial" w:hAnsi="Arial"/>
      <w:sz w:val="18"/>
    </w:rPr>
  </w:style>
  <w:style w:type="table" w:styleId="TableGrid">
    <w:name w:val="Table Grid"/>
    <w:basedOn w:val="TableNormal"/>
    <w:uiPriority w:val="39"/>
    <w:rsid w:val="0043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rsid w:val="004309A5"/>
    <w:pPr>
      <w:spacing w:after="0" w:line="240" w:lineRule="auto"/>
    </w:pPr>
  </w:style>
  <w:style w:type="paragraph" w:styleId="Title">
    <w:name w:val="Title"/>
    <w:next w:val="Normal"/>
    <w:link w:val="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8"/>
      <w:szCs w:val="48"/>
      <w:lang w:eastAsia="en-GB"/>
    </w:rPr>
  </w:style>
  <w:style w:type="character" w:customStyle="1" w:styleId="TitleChar">
    <w:name w:val="Title Char"/>
    <w:basedOn w:val="DefaultParagraphFont"/>
    <w:link w:val="Title"/>
    <w:uiPriority w:val="37"/>
    <w:rsid w:val="00900EC4"/>
    <w:rPr>
      <w:rFonts w:ascii="Arial" w:eastAsia="Times New Roman" w:hAnsi="Arial" w:cs="Arial"/>
      <w:b/>
      <w:bCs/>
      <w:color w:val="000000"/>
      <w:sz w:val="48"/>
      <w:szCs w:val="48"/>
      <w:lang w:eastAsia="en-GB"/>
    </w:rPr>
  </w:style>
  <w:style w:type="paragraph" w:styleId="Subtitle">
    <w:name w:val="Subtitle"/>
    <w:next w:val="Normal"/>
    <w:link w:val="SubtitleChar"/>
    <w:uiPriority w:val="37"/>
    <w:qFormat/>
    <w:rsid w:val="00900EC4"/>
    <w:pPr>
      <w:suppressAutoHyphens/>
      <w:autoSpaceDE w:val="0"/>
      <w:autoSpaceDN w:val="0"/>
      <w:adjustRightInd w:val="0"/>
      <w:spacing w:after="0" w:line="240" w:lineRule="auto"/>
      <w:ind w:left="-62"/>
      <w:jc w:val="center"/>
    </w:pPr>
    <w:rPr>
      <w:rFonts w:ascii="Arial" w:eastAsia="Times New Roman" w:hAnsi="Arial" w:cs="Arial"/>
      <w:b/>
      <w:bCs/>
      <w:color w:val="000000"/>
      <w:sz w:val="40"/>
      <w:szCs w:val="40"/>
      <w:lang w:eastAsia="en-GB"/>
    </w:rPr>
  </w:style>
  <w:style w:type="character" w:customStyle="1" w:styleId="SubtitleChar">
    <w:name w:val="Subtitle Char"/>
    <w:basedOn w:val="DefaultParagraphFont"/>
    <w:link w:val="Subtitle"/>
    <w:uiPriority w:val="37"/>
    <w:rsid w:val="00900EC4"/>
    <w:rPr>
      <w:rFonts w:ascii="Arial" w:eastAsia="Times New Roman" w:hAnsi="Arial" w:cs="Arial"/>
      <w:b/>
      <w:bCs/>
      <w:color w:val="000000"/>
      <w:sz w:val="40"/>
      <w:szCs w:val="40"/>
      <w:lang w:eastAsia="en-GB"/>
    </w:rPr>
  </w:style>
  <w:style w:type="paragraph" w:styleId="ListParagraph">
    <w:name w:val="List Paragraph"/>
    <w:aliases w:val="List 1"/>
    <w:basedOn w:val="Normal"/>
    <w:uiPriority w:val="34"/>
    <w:qFormat/>
    <w:rsid w:val="00900EC4"/>
    <w:pPr>
      <w:numPr>
        <w:numId w:val="4"/>
      </w:numPr>
      <w:contextualSpacing/>
    </w:pPr>
    <w:rPr>
      <w:lang w:val="en-US"/>
    </w:rPr>
  </w:style>
  <w:style w:type="character" w:customStyle="1" w:styleId="Heading1Char">
    <w:name w:val="Heading 1 Char"/>
    <w:basedOn w:val="DefaultParagraphFont"/>
    <w:link w:val="Heading1"/>
    <w:uiPriority w:val="9"/>
    <w:rsid w:val="00900EC4"/>
    <w:rPr>
      <w:rFonts w:ascii="Arial" w:eastAsiaTheme="majorEastAsia" w:hAnsi="Arial" w:cstheme="majorBidi"/>
      <w:b/>
      <w:sz w:val="26"/>
      <w:szCs w:val="32"/>
    </w:rPr>
  </w:style>
  <w:style w:type="character" w:customStyle="1" w:styleId="Heading2Char">
    <w:name w:val="Heading 2 Char"/>
    <w:basedOn w:val="DefaultParagraphFont"/>
    <w:link w:val="Heading2"/>
    <w:uiPriority w:val="9"/>
    <w:rsid w:val="00900EC4"/>
    <w:rPr>
      <w:rFonts w:ascii="Arial" w:eastAsiaTheme="majorEastAsia" w:hAnsi="Arial" w:cstheme="majorBidi"/>
      <w:b/>
      <w:szCs w:val="26"/>
    </w:rPr>
  </w:style>
  <w:style w:type="character" w:customStyle="1" w:styleId="Heading3Char">
    <w:name w:val="Heading 3 Char"/>
    <w:basedOn w:val="DefaultParagraphFont"/>
    <w:link w:val="Heading3"/>
    <w:uiPriority w:val="9"/>
    <w:rsid w:val="00900EC4"/>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900EC4"/>
    <w:rPr>
      <w:rFonts w:eastAsiaTheme="majorEastAsia" w:cstheme="majorBidi"/>
      <w:i/>
      <w:iCs/>
    </w:rPr>
  </w:style>
  <w:style w:type="character" w:customStyle="1" w:styleId="Heading5Char">
    <w:name w:val="Heading 5 Char"/>
    <w:basedOn w:val="DefaultParagraphFont"/>
    <w:link w:val="Heading5"/>
    <w:uiPriority w:val="9"/>
    <w:rsid w:val="00900EC4"/>
    <w:rPr>
      <w:rFonts w:ascii="Arial" w:hAnsi="Arial" w:cs="Arial"/>
      <w:u w:val="single"/>
    </w:rPr>
  </w:style>
  <w:style w:type="character" w:customStyle="1" w:styleId="Heading6Char">
    <w:name w:val="Heading 6 Char"/>
    <w:basedOn w:val="DefaultParagraphFont"/>
    <w:link w:val="Heading6"/>
    <w:uiPriority w:val="9"/>
    <w:semiHidden/>
    <w:rsid w:val="00F9508A"/>
    <w:rPr>
      <w:rFonts w:asciiTheme="majorHAnsi" w:eastAsiaTheme="majorEastAsia" w:hAnsiTheme="majorHAnsi" w:cstheme="majorBidi"/>
      <w:color w:val="1D3555" w:themeColor="accent1" w:themeShade="7F"/>
    </w:rPr>
  </w:style>
  <w:style w:type="character" w:customStyle="1" w:styleId="Heading7Char">
    <w:name w:val="Heading 7 Char"/>
    <w:basedOn w:val="DefaultParagraphFont"/>
    <w:link w:val="Heading7"/>
    <w:uiPriority w:val="9"/>
    <w:semiHidden/>
    <w:rsid w:val="00F9508A"/>
    <w:rPr>
      <w:rFonts w:asciiTheme="majorHAnsi" w:eastAsiaTheme="majorEastAsia" w:hAnsiTheme="majorHAnsi" w:cstheme="majorBidi"/>
      <w:i/>
      <w:iCs/>
      <w:color w:val="1D3555" w:themeColor="accent1" w:themeShade="7F"/>
    </w:rPr>
  </w:style>
  <w:style w:type="character" w:customStyle="1" w:styleId="Heading8Char">
    <w:name w:val="Heading 8 Char"/>
    <w:basedOn w:val="DefaultParagraphFont"/>
    <w:link w:val="Heading8"/>
    <w:uiPriority w:val="9"/>
    <w:semiHidden/>
    <w:rsid w:val="00F950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508A"/>
    <w:rPr>
      <w:rFonts w:asciiTheme="majorHAnsi" w:eastAsiaTheme="majorEastAsia" w:hAnsiTheme="majorHAnsi" w:cstheme="majorBidi"/>
      <w:i/>
      <w:iCs/>
      <w:color w:val="272727" w:themeColor="text1" w:themeTint="D8"/>
      <w:sz w:val="21"/>
      <w:szCs w:val="21"/>
    </w:rPr>
  </w:style>
  <w:style w:type="character" w:styleId="BookTitle">
    <w:name w:val="Book Title"/>
    <w:uiPriority w:val="33"/>
    <w:rsid w:val="00F9508A"/>
  </w:style>
  <w:style w:type="paragraph" w:customStyle="1" w:styleId="List2nd">
    <w:name w:val="List 2nd"/>
    <w:basedOn w:val="ListParagraph"/>
    <w:uiPriority w:val="34"/>
    <w:qFormat/>
    <w:rsid w:val="00884487"/>
    <w:pPr>
      <w:numPr>
        <w:ilvl w:val="1"/>
      </w:numPr>
      <w:ind w:left="1434" w:hanging="357"/>
    </w:pPr>
  </w:style>
  <w:style w:type="paragraph" w:styleId="Caption">
    <w:name w:val="caption"/>
    <w:basedOn w:val="Normal"/>
    <w:next w:val="Normal"/>
    <w:uiPriority w:val="39"/>
    <w:qFormat/>
    <w:rsid w:val="00900EC4"/>
    <w:pPr>
      <w:spacing w:after="200" w:line="240" w:lineRule="auto"/>
      <w:jc w:val="center"/>
    </w:pPr>
    <w:rPr>
      <w:b/>
      <w:i/>
      <w:iCs/>
      <w:sz w:val="20"/>
      <w:szCs w:val="18"/>
    </w:rPr>
  </w:style>
  <w:style w:type="character" w:styleId="Emphasis">
    <w:name w:val="Emphasis"/>
    <w:uiPriority w:val="20"/>
    <w:qFormat/>
    <w:rsid w:val="00866906"/>
    <w:rPr>
      <w:b/>
    </w:rPr>
  </w:style>
  <w:style w:type="character" w:styleId="SubtleEmphasis">
    <w:name w:val="Subtle Emphasis"/>
    <w:basedOn w:val="DefaultParagraphFont"/>
    <w:uiPriority w:val="19"/>
    <w:qFormat/>
    <w:rsid w:val="00866906"/>
    <w:rPr>
      <w:u w:val="single"/>
    </w:rPr>
  </w:style>
  <w:style w:type="table" w:styleId="ListTable7Colorful-Accent6">
    <w:name w:val="List Table 7 Colorful Accent 6"/>
    <w:basedOn w:val="TableNormal"/>
    <w:uiPriority w:val="52"/>
    <w:rsid w:val="00A43B95"/>
    <w:pPr>
      <w:spacing w:after="0" w:line="240" w:lineRule="auto"/>
    </w:pPr>
    <w:rPr>
      <w:color w:val="9F44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5B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5B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5B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5B20" w:themeColor="accent6"/>
        </w:tcBorders>
        <w:shd w:val="clear" w:color="auto" w:fill="FFFFFF" w:themeFill="background1"/>
      </w:tcPr>
    </w:tblStylePr>
    <w:tblStylePr w:type="band1Vert">
      <w:tblPr/>
      <w:tcPr>
        <w:shd w:val="clear" w:color="auto" w:fill="F8DDD0" w:themeFill="accent6" w:themeFillTint="33"/>
      </w:tcPr>
    </w:tblStylePr>
    <w:tblStylePr w:type="band1Horz">
      <w:tblPr/>
      <w:tcPr>
        <w:shd w:val="clear" w:color="auto" w:fill="F8DD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IAIStable">
    <w:name w:val="IAIS table"/>
    <w:basedOn w:val="TableNormal"/>
    <w:uiPriority w:val="99"/>
    <w:rsid w:val="00B631B3"/>
    <w:pPr>
      <w:spacing w:after="0" w:line="240" w:lineRule="auto"/>
      <w:jc w:val="both"/>
    </w:pPr>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shd w:val="clear" w:color="auto" w:fill="auto"/>
    </w:tcPr>
    <w:tblStylePr w:type="firstRow">
      <w:pPr>
        <w:wordWrap/>
        <w:jc w:val="both"/>
      </w:pPr>
      <w:rPr>
        <w:rFonts w:ascii="Arial" w:hAnsi="Arial"/>
        <w:b/>
        <w:sz w:val="22"/>
      </w:rPr>
      <w:tblPr/>
      <w:tcPr>
        <w:shd w:val="clear" w:color="auto" w:fill="D5E0F1" w:themeFill="accent1" w:themeFillTint="33"/>
        <w:vAlign w:val="center"/>
      </w:tcPr>
    </w:tblStylePr>
    <w:tblStylePr w:type="lastRow">
      <w:tblPr/>
      <w:tcPr>
        <w:tcBorders>
          <w:top w:val="double" w:sz="4" w:space="0" w:color="auto"/>
        </w:tcBorders>
      </w:tcPr>
    </w:tblStylePr>
    <w:tblStylePr w:type="firstCol">
      <w:pPr>
        <w:jc w:val="left"/>
      </w:pPr>
      <w:rPr>
        <w:b/>
      </w:rPr>
    </w:tblStylePr>
    <w:tblStylePr w:type="lastCol">
      <w:rPr>
        <w:b/>
      </w:rPr>
    </w:tblStylePr>
  </w:style>
  <w:style w:type="paragraph" w:customStyle="1" w:styleId="Numberedlist1">
    <w:name w:val="Numbered list 1"/>
    <w:uiPriority w:val="34"/>
    <w:qFormat/>
    <w:rsid w:val="00900EC4"/>
    <w:pPr>
      <w:numPr>
        <w:numId w:val="3"/>
      </w:numPr>
      <w:suppressAutoHyphens/>
      <w:spacing w:after="120"/>
      <w:ind w:left="714" w:hanging="357"/>
    </w:pPr>
    <w:rPr>
      <w:rFonts w:ascii="Arial" w:hAnsi="Arial"/>
      <w:lang w:val="en-US"/>
    </w:rPr>
  </w:style>
  <w:style w:type="paragraph" w:customStyle="1" w:styleId="Numberedlist2">
    <w:name w:val="Numbered list 2"/>
    <w:basedOn w:val="Numberedlist1"/>
    <w:uiPriority w:val="34"/>
    <w:qFormat/>
    <w:rsid w:val="00900EC4"/>
    <w:pPr>
      <w:numPr>
        <w:ilvl w:val="1"/>
      </w:numPr>
      <w:ind w:left="1434" w:hanging="357"/>
    </w:pPr>
  </w:style>
  <w:style w:type="numbering" w:customStyle="1" w:styleId="Style1">
    <w:name w:val="Style1"/>
    <w:uiPriority w:val="99"/>
    <w:rsid w:val="00065353"/>
    <w:pPr>
      <w:numPr>
        <w:numId w:val="2"/>
      </w:numPr>
    </w:pPr>
  </w:style>
  <w:style w:type="paragraph" w:customStyle="1" w:styleId="Numberedlist3">
    <w:name w:val="Numbered list 3"/>
    <w:basedOn w:val="Numberedlist2"/>
    <w:uiPriority w:val="34"/>
    <w:qFormat/>
    <w:rsid w:val="00900EC4"/>
    <w:pPr>
      <w:numPr>
        <w:ilvl w:val="2"/>
      </w:numPr>
      <w:ind w:left="2154" w:hanging="357"/>
    </w:pPr>
  </w:style>
  <w:style w:type="paragraph" w:customStyle="1" w:styleId="List3rd">
    <w:name w:val="List 3rd"/>
    <w:basedOn w:val="ListParagraph"/>
    <w:uiPriority w:val="34"/>
    <w:qFormat/>
    <w:rsid w:val="007354B5"/>
    <w:pPr>
      <w:numPr>
        <w:ilvl w:val="2"/>
      </w:numPr>
    </w:pPr>
  </w:style>
  <w:style w:type="paragraph" w:styleId="TOCHeading">
    <w:name w:val="TOC Heading"/>
    <w:aliases w:val="Table of Content Heading"/>
    <w:basedOn w:val="Heading1withoutnumber"/>
    <w:next w:val="Normal"/>
    <w:uiPriority w:val="39"/>
    <w:semiHidden/>
    <w:qFormat/>
    <w:rsid w:val="00EB0D1C"/>
    <w:pPr>
      <w:outlineLvl w:val="9"/>
    </w:pPr>
    <w:rPr>
      <w:rFonts w:asciiTheme="majorHAnsi" w:hAnsiTheme="majorHAnsi"/>
      <w:lang w:val="en-US"/>
    </w:rPr>
  </w:style>
  <w:style w:type="paragraph" w:styleId="TOC1">
    <w:name w:val="toc 1"/>
    <w:basedOn w:val="Normal"/>
    <w:next w:val="Normal"/>
    <w:autoRedefine/>
    <w:uiPriority w:val="39"/>
    <w:unhideWhenUsed/>
    <w:rsid w:val="001614F3"/>
    <w:pPr>
      <w:spacing w:after="100"/>
    </w:pPr>
  </w:style>
  <w:style w:type="paragraph" w:styleId="TOC2">
    <w:name w:val="toc 2"/>
    <w:basedOn w:val="Normal"/>
    <w:next w:val="Normal"/>
    <w:autoRedefine/>
    <w:uiPriority w:val="39"/>
    <w:unhideWhenUsed/>
    <w:rsid w:val="001614F3"/>
    <w:pPr>
      <w:spacing w:after="100"/>
      <w:ind w:left="220"/>
    </w:pPr>
  </w:style>
  <w:style w:type="paragraph" w:styleId="TOC3">
    <w:name w:val="toc 3"/>
    <w:basedOn w:val="Normal"/>
    <w:next w:val="Normal"/>
    <w:autoRedefine/>
    <w:uiPriority w:val="39"/>
    <w:unhideWhenUsed/>
    <w:rsid w:val="001614F3"/>
    <w:pPr>
      <w:spacing w:after="100"/>
      <w:ind w:left="440"/>
    </w:pPr>
  </w:style>
  <w:style w:type="character" w:styleId="Hyperlink">
    <w:name w:val="Hyperlink"/>
    <w:basedOn w:val="DefaultParagraphFont"/>
    <w:uiPriority w:val="99"/>
    <w:unhideWhenUsed/>
    <w:rsid w:val="001614F3"/>
    <w:rPr>
      <w:color w:val="3A6BAC" w:themeColor="hyperlink"/>
      <w:u w:val="single"/>
    </w:rPr>
  </w:style>
  <w:style w:type="paragraph" w:customStyle="1" w:styleId="Annextitle">
    <w:name w:val="Annex title"/>
    <w:basedOn w:val="Heading1"/>
    <w:next w:val="Normal"/>
    <w:uiPriority w:val="37"/>
    <w:qFormat/>
    <w:rsid w:val="0091398D"/>
    <w:pPr>
      <w:numPr>
        <w:numId w:val="5"/>
      </w:numPr>
      <w:spacing w:before="120"/>
    </w:pPr>
    <w:rPr>
      <w:rFonts w:cs="Arial"/>
      <w:noProof/>
      <w:lang w:val="la-Latn"/>
    </w:rPr>
  </w:style>
  <w:style w:type="paragraph" w:customStyle="1" w:styleId="Heading1withoutnumber">
    <w:name w:val="Heading 1 without number"/>
    <w:basedOn w:val="Heading1"/>
    <w:next w:val="Normal"/>
    <w:link w:val="Heading1withoutnumberChar"/>
    <w:uiPriority w:val="35"/>
    <w:qFormat/>
    <w:rsid w:val="00EB0D1C"/>
    <w:pPr>
      <w:numPr>
        <w:numId w:val="0"/>
      </w:numPr>
    </w:pPr>
  </w:style>
  <w:style w:type="paragraph" w:customStyle="1" w:styleId="Numberednormal">
    <w:name w:val="Numbered normal"/>
    <w:basedOn w:val="Normal"/>
    <w:uiPriority w:val="1"/>
    <w:qFormat/>
    <w:rsid w:val="00900EC4"/>
    <w:pPr>
      <w:numPr>
        <w:numId w:val="6"/>
      </w:numPr>
      <w:ind w:left="0" w:firstLine="0"/>
    </w:pPr>
    <w:rPr>
      <w:noProof/>
      <w:lang w:val="en-US"/>
    </w:rPr>
  </w:style>
  <w:style w:type="character" w:customStyle="1" w:styleId="Heading1withoutnumberChar">
    <w:name w:val="Heading 1 without number Char"/>
    <w:basedOn w:val="Heading1Char"/>
    <w:link w:val="Heading1withoutnumber"/>
    <w:uiPriority w:val="35"/>
    <w:rsid w:val="000628D9"/>
    <w:rPr>
      <w:rFonts w:ascii="Arial" w:eastAsiaTheme="majorEastAsia" w:hAnsi="Arial" w:cstheme="majorBidi"/>
      <w:b/>
      <w:smallCaps w:val="0"/>
      <w:color w:val="3A6BAC" w:themeColor="accent1"/>
      <w:sz w:val="28"/>
      <w:szCs w:val="32"/>
    </w:rPr>
  </w:style>
  <w:style w:type="paragraph" w:customStyle="1" w:styleId="Box">
    <w:name w:val="Box"/>
    <w:basedOn w:val="Normal"/>
    <w:uiPriority w:val="40"/>
    <w:qFormat/>
    <w:rsid w:val="00900EC4"/>
    <w:pPr>
      <w:pBdr>
        <w:top w:val="single" w:sz="4" w:space="0" w:color="000000"/>
        <w:left w:val="single" w:sz="4" w:space="0" w:color="000000"/>
        <w:bottom w:val="single" w:sz="4" w:space="0" w:color="000000"/>
        <w:right w:val="single" w:sz="4" w:space="0" w:color="000000"/>
      </w:pBdr>
      <w:spacing w:after="1"/>
      <w:ind w:left="11" w:hanging="11"/>
    </w:pPr>
    <w:rPr>
      <w:rFonts w:eastAsiaTheme="minorEastAsia" w:cs="Arial"/>
      <w:lang w:eastAsia="de-CH"/>
    </w:rPr>
  </w:style>
  <w:style w:type="paragraph" w:customStyle="1" w:styleId="BlueBox">
    <w:name w:val="Blue Box"/>
    <w:basedOn w:val="Normal"/>
    <w:uiPriority w:val="41"/>
    <w:qFormat/>
    <w:rsid w:val="00900EC4"/>
    <w:pPr>
      <w:pBdr>
        <w:top w:val="single" w:sz="4" w:space="0" w:color="auto"/>
        <w:left w:val="single" w:sz="4" w:space="4" w:color="auto"/>
        <w:bottom w:val="single" w:sz="4" w:space="1" w:color="auto"/>
        <w:right w:val="single" w:sz="4" w:space="4" w:color="auto"/>
      </w:pBdr>
      <w:shd w:val="clear" w:color="auto" w:fill="D5E0F1" w:themeFill="accent1" w:themeFillTint="33"/>
      <w:spacing w:after="200" w:line="276" w:lineRule="auto"/>
      <w:jc w:val="center"/>
    </w:pPr>
    <w:rPr>
      <w:rFonts w:eastAsia="Times New Roman" w:cs="Arial"/>
      <w:b/>
      <w:noProof/>
      <w:lang w:val="en-US"/>
    </w:rPr>
  </w:style>
  <w:style w:type="paragraph" w:styleId="FootnoteText">
    <w:name w:val="footnote text"/>
    <w:basedOn w:val="Normal"/>
    <w:link w:val="FootnoteTextChar"/>
    <w:uiPriority w:val="40"/>
    <w:semiHidden/>
    <w:qFormat/>
    <w:rsid w:val="005A2E8D"/>
    <w:pPr>
      <w:spacing w:after="0" w:line="240" w:lineRule="auto"/>
    </w:pPr>
    <w:rPr>
      <w:sz w:val="20"/>
      <w:szCs w:val="20"/>
    </w:rPr>
  </w:style>
  <w:style w:type="character" w:customStyle="1" w:styleId="FootnoteTextChar">
    <w:name w:val="Footnote Text Char"/>
    <w:basedOn w:val="DefaultParagraphFont"/>
    <w:link w:val="FootnoteText"/>
    <w:uiPriority w:val="40"/>
    <w:semiHidden/>
    <w:rsid w:val="005A2E8D"/>
    <w:rPr>
      <w:rFonts w:ascii="Arial" w:hAnsi="Arial"/>
      <w:sz w:val="20"/>
      <w:szCs w:val="20"/>
    </w:rPr>
  </w:style>
  <w:style w:type="paragraph" w:styleId="TableofFigures">
    <w:name w:val="table of figures"/>
    <w:basedOn w:val="Normal"/>
    <w:next w:val="Normal"/>
    <w:uiPriority w:val="99"/>
    <w:unhideWhenUsed/>
    <w:rsid w:val="007673C5"/>
    <w:pPr>
      <w:spacing w:after="0"/>
    </w:pPr>
  </w:style>
  <w:style w:type="table" w:styleId="PlainTable3">
    <w:name w:val="Plain Table 3"/>
    <w:basedOn w:val="TableNormal"/>
    <w:uiPriority w:val="43"/>
    <w:rsid w:val="008E40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mallTitle">
    <w:name w:val="Small Title"/>
    <w:basedOn w:val="Title"/>
    <w:link w:val="SmallTitleChar"/>
    <w:uiPriority w:val="38"/>
    <w:qFormat/>
    <w:rsid w:val="00900EC4"/>
    <w:rPr>
      <w:sz w:val="30"/>
      <w:szCs w:val="30"/>
      <w:lang w:val="en-US"/>
    </w:rPr>
  </w:style>
  <w:style w:type="paragraph" w:customStyle="1" w:styleId="Smallsubtitle">
    <w:name w:val="Small subtitle"/>
    <w:basedOn w:val="SmallTitle"/>
    <w:link w:val="SmallsubtitleChar"/>
    <w:uiPriority w:val="38"/>
    <w:qFormat/>
    <w:rsid w:val="00900EC4"/>
    <w:pPr>
      <w:spacing w:before="240" w:after="240"/>
    </w:pPr>
    <w:rPr>
      <w:b w:val="0"/>
      <w:sz w:val="22"/>
      <w:szCs w:val="22"/>
    </w:rPr>
  </w:style>
  <w:style w:type="character" w:customStyle="1" w:styleId="SmallTitleChar">
    <w:name w:val="Small Title Char"/>
    <w:basedOn w:val="TitleChar"/>
    <w:link w:val="SmallTitle"/>
    <w:uiPriority w:val="38"/>
    <w:rsid w:val="00900EC4"/>
    <w:rPr>
      <w:rFonts w:ascii="Arial" w:eastAsia="Times New Roman" w:hAnsi="Arial" w:cs="Arial"/>
      <w:b/>
      <w:bCs/>
      <w:color w:val="000000"/>
      <w:sz w:val="30"/>
      <w:szCs w:val="30"/>
      <w:lang w:val="en-US" w:eastAsia="en-GB"/>
    </w:rPr>
  </w:style>
  <w:style w:type="character" w:customStyle="1" w:styleId="SmallsubtitleChar">
    <w:name w:val="Small subtitle Char"/>
    <w:basedOn w:val="SmallTitleChar"/>
    <w:link w:val="Smallsubtitle"/>
    <w:uiPriority w:val="38"/>
    <w:rsid w:val="00900EC4"/>
    <w:rPr>
      <w:rFonts w:ascii="Arial" w:eastAsia="Times New Roman" w:hAnsi="Arial" w:cs="Arial"/>
      <w:b w:val="0"/>
      <w:bCs/>
      <w:color w:val="000000"/>
      <w:sz w:val="30"/>
      <w:szCs w:val="30"/>
      <w:lang w:val="en-US" w:eastAsia="en-GB"/>
    </w:rPr>
  </w:style>
  <w:style w:type="character" w:styleId="CommentReference">
    <w:name w:val="annotation reference"/>
    <w:basedOn w:val="DefaultParagraphFont"/>
    <w:uiPriority w:val="99"/>
    <w:semiHidden/>
    <w:unhideWhenUsed/>
    <w:rsid w:val="001750BD"/>
    <w:rPr>
      <w:sz w:val="16"/>
      <w:szCs w:val="16"/>
    </w:rPr>
  </w:style>
  <w:style w:type="paragraph" w:styleId="CommentText">
    <w:name w:val="annotation text"/>
    <w:basedOn w:val="Normal"/>
    <w:link w:val="CommentTextChar"/>
    <w:uiPriority w:val="99"/>
    <w:semiHidden/>
    <w:unhideWhenUsed/>
    <w:rsid w:val="001750BD"/>
    <w:pPr>
      <w:spacing w:line="240" w:lineRule="auto"/>
    </w:pPr>
    <w:rPr>
      <w:sz w:val="20"/>
      <w:szCs w:val="20"/>
    </w:rPr>
  </w:style>
  <w:style w:type="character" w:customStyle="1" w:styleId="CommentTextChar">
    <w:name w:val="Comment Text Char"/>
    <w:basedOn w:val="DefaultParagraphFont"/>
    <w:link w:val="CommentText"/>
    <w:uiPriority w:val="99"/>
    <w:semiHidden/>
    <w:rsid w:val="001750BD"/>
    <w:rPr>
      <w:sz w:val="20"/>
      <w:szCs w:val="20"/>
    </w:rPr>
  </w:style>
  <w:style w:type="paragraph" w:styleId="CommentSubject">
    <w:name w:val="annotation subject"/>
    <w:basedOn w:val="CommentText"/>
    <w:next w:val="CommentText"/>
    <w:link w:val="CommentSubjectChar"/>
    <w:uiPriority w:val="99"/>
    <w:semiHidden/>
    <w:unhideWhenUsed/>
    <w:rsid w:val="001750BD"/>
    <w:rPr>
      <w:b/>
      <w:bCs/>
    </w:rPr>
  </w:style>
  <w:style w:type="character" w:customStyle="1" w:styleId="CommentSubjectChar">
    <w:name w:val="Comment Subject Char"/>
    <w:basedOn w:val="CommentTextChar"/>
    <w:link w:val="CommentSubject"/>
    <w:uiPriority w:val="99"/>
    <w:semiHidden/>
    <w:rsid w:val="001750BD"/>
    <w:rPr>
      <w:b/>
      <w:bCs/>
      <w:sz w:val="20"/>
      <w:szCs w:val="20"/>
    </w:rPr>
  </w:style>
  <w:style w:type="paragraph" w:styleId="BalloonText">
    <w:name w:val="Balloon Text"/>
    <w:basedOn w:val="Normal"/>
    <w:link w:val="BalloonTextChar"/>
    <w:uiPriority w:val="99"/>
    <w:semiHidden/>
    <w:unhideWhenUsed/>
    <w:rsid w:val="00175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IAIS\Master%20default.dotx" TargetMode="External"/></Relationships>
</file>

<file path=word/theme/theme1.xml><?xml version="1.0" encoding="utf-8"?>
<a:theme xmlns:a="http://schemas.openxmlformats.org/drawingml/2006/main" name="Office Theme">
  <a:themeElements>
    <a:clrScheme name="BIS strong">
      <a:dk1>
        <a:sysClr val="windowText" lastClr="000000"/>
      </a:dk1>
      <a:lt1>
        <a:sysClr val="window" lastClr="FFFFFF"/>
      </a:lt1>
      <a:dk2>
        <a:srgbClr val="784722"/>
      </a:dk2>
      <a:lt2>
        <a:srgbClr val="BCBDBC"/>
      </a:lt2>
      <a:accent1>
        <a:srgbClr val="3A6BAC"/>
      </a:accent1>
      <a:accent2>
        <a:srgbClr val="AA322F"/>
      </a:accent2>
      <a:accent3>
        <a:srgbClr val="427F6D"/>
      </a:accent3>
      <a:accent4>
        <a:srgbClr val="633D83"/>
      </a:accent4>
      <a:accent5>
        <a:srgbClr val="EAA121"/>
      </a:accent5>
      <a:accent6>
        <a:srgbClr val="D55B20"/>
      </a:accent6>
      <a:hlink>
        <a:srgbClr val="3A6BAC"/>
      </a:hlink>
      <a:folHlink>
        <a:srgbClr val="800080"/>
      </a:folHlink>
    </a:clrScheme>
    <a:fontScheme name="IAI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782A-34FE-4CEE-8788-B403497F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default</Template>
  <TotalTime>2</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Bank for International Settlements</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dc:creator>
  <cp:keywords/>
  <dc:description/>
  <cp:lastModifiedBy>Stastny, Tomas</cp:lastModifiedBy>
  <cp:revision>4</cp:revision>
  <dcterms:created xsi:type="dcterms:W3CDTF">2020-11-04T10:55:00Z</dcterms:created>
  <dcterms:modified xsi:type="dcterms:W3CDTF">2020-11-09T10:18:00Z</dcterms:modified>
</cp:coreProperties>
</file>