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54BDF" w14:textId="77777777" w:rsidR="00A5543E" w:rsidRPr="00B80036" w:rsidRDefault="00A5543E" w:rsidP="00F57F64"/>
    <w:p w14:paraId="748C935C" w14:textId="77777777" w:rsidR="00A5543E" w:rsidRPr="00B80036" w:rsidRDefault="00A5543E" w:rsidP="00F57F64"/>
    <w:p w14:paraId="4FFE1919" w14:textId="77777777" w:rsidR="00A5543E" w:rsidRPr="00B80036" w:rsidRDefault="00A5543E" w:rsidP="00F57F64"/>
    <w:p w14:paraId="6215A47A" w14:textId="77777777" w:rsidR="00A5543E" w:rsidRPr="00B80036" w:rsidRDefault="00A5543E" w:rsidP="00F57F64"/>
    <w:p w14:paraId="7353D8B3" w14:textId="63389CAB" w:rsidR="00A5543E" w:rsidRPr="00B80036" w:rsidRDefault="007F4623" w:rsidP="00A5543E">
      <w:pPr>
        <w:pStyle w:val="SmallTitle"/>
        <w:rPr>
          <w:lang w:val="en-GB"/>
        </w:rPr>
      </w:pPr>
      <w:r w:rsidRPr="007F4623">
        <w:rPr>
          <w:lang w:val="en-GB"/>
        </w:rPr>
        <w:t xml:space="preserve">Public Consultation on the Development of Liquidity </w:t>
      </w:r>
      <w:r w:rsidR="00EF6718" w:rsidRPr="00EF6718">
        <w:rPr>
          <w:lang w:val="en-GB"/>
        </w:rPr>
        <w:t xml:space="preserve">Metrics:  Phase </w:t>
      </w:r>
      <w:r w:rsidR="00EA0774">
        <w:rPr>
          <w:lang w:val="en-GB"/>
        </w:rPr>
        <w:t>2</w:t>
      </w:r>
    </w:p>
    <w:p w14:paraId="72AD38F2" w14:textId="77777777" w:rsidR="00A5543E" w:rsidRPr="00B80036" w:rsidRDefault="00A5543E" w:rsidP="00A5543E">
      <w:pPr>
        <w:jc w:val="center"/>
        <w:rPr>
          <w:rFonts w:ascii="Arial" w:hAnsi="Arial" w:cs="Arial"/>
          <w:b/>
          <w:iCs/>
          <w:sz w:val="28"/>
          <w:szCs w:val="28"/>
        </w:rPr>
      </w:pPr>
    </w:p>
    <w:p w14:paraId="7A6E87BC" w14:textId="7EDAE308" w:rsidR="00392978" w:rsidRPr="00B80036" w:rsidRDefault="00392978" w:rsidP="00392978">
      <w:pPr>
        <w:jc w:val="both"/>
        <w:rPr>
          <w:lang w:eastAsia="en-GB"/>
        </w:rPr>
      </w:pPr>
      <w:r w:rsidRPr="00B80036">
        <w:rPr>
          <w:lang w:eastAsia="en-GB"/>
        </w:rPr>
        <w:t>Thank you for your interest in the public consultation on</w:t>
      </w:r>
      <w:r w:rsidR="001750BD" w:rsidRPr="00B80036">
        <w:rPr>
          <w:lang w:eastAsia="en-GB"/>
        </w:rPr>
        <w:t xml:space="preserve"> the</w:t>
      </w:r>
      <w:r w:rsidR="00D314D3" w:rsidRPr="00D314D3">
        <w:t xml:space="preserve"> </w:t>
      </w:r>
      <w:r w:rsidR="00D314D3" w:rsidRPr="00D314D3">
        <w:rPr>
          <w:lang w:eastAsia="en-GB"/>
        </w:rPr>
        <w:t>D</w:t>
      </w:r>
      <w:r w:rsidR="007F4623">
        <w:rPr>
          <w:lang w:eastAsia="en-GB"/>
        </w:rPr>
        <w:t xml:space="preserve">evelopment of Liquidity </w:t>
      </w:r>
      <w:r w:rsidR="00EF6718" w:rsidRPr="00EF6718">
        <w:rPr>
          <w:lang w:eastAsia="en-GB"/>
        </w:rPr>
        <w:t xml:space="preserve">Metrics:  Phase </w:t>
      </w:r>
      <w:r w:rsidR="00EA0774">
        <w:rPr>
          <w:lang w:eastAsia="en-GB"/>
        </w:rPr>
        <w:t>2</w:t>
      </w:r>
      <w:r w:rsidRPr="00B80036">
        <w:rPr>
          <w:lang w:eastAsia="en-GB"/>
        </w:rPr>
        <w:t xml:space="preserve">. The Consultation Tool is available on the IAIS website </w:t>
      </w:r>
      <w:r w:rsidRPr="006D6B6A">
        <w:rPr>
          <w:lang w:eastAsia="en-GB"/>
        </w:rPr>
        <w:t>from</w:t>
      </w:r>
      <w:r w:rsidR="001750BD" w:rsidRPr="006D6B6A">
        <w:rPr>
          <w:lang w:eastAsia="en-GB"/>
        </w:rPr>
        <w:t xml:space="preserve"> </w:t>
      </w:r>
      <w:r w:rsidR="00864F95">
        <w:rPr>
          <w:lang w:eastAsia="en-GB"/>
        </w:rPr>
        <w:t>Thursday</w:t>
      </w:r>
      <w:r w:rsidR="006D6B6A">
        <w:rPr>
          <w:lang w:eastAsia="en-GB"/>
        </w:rPr>
        <w:t xml:space="preserve"> </w:t>
      </w:r>
      <w:r w:rsidR="00AE42AB">
        <w:rPr>
          <w:lang w:eastAsia="en-GB"/>
        </w:rPr>
        <w:t>1</w:t>
      </w:r>
      <w:r w:rsidR="00864F95">
        <w:rPr>
          <w:lang w:eastAsia="en-GB"/>
        </w:rPr>
        <w:t>8</w:t>
      </w:r>
      <w:r w:rsidR="001750BD" w:rsidRPr="006D6B6A">
        <w:rPr>
          <w:lang w:eastAsia="en-GB"/>
        </w:rPr>
        <w:t xml:space="preserve"> </w:t>
      </w:r>
      <w:r w:rsidR="00D314D3">
        <w:rPr>
          <w:lang w:eastAsia="en-GB"/>
        </w:rPr>
        <w:t>November</w:t>
      </w:r>
      <w:r w:rsidR="001750BD" w:rsidRPr="006D6B6A">
        <w:rPr>
          <w:lang w:eastAsia="en-GB"/>
        </w:rPr>
        <w:t xml:space="preserve"> 202</w:t>
      </w:r>
      <w:r w:rsidR="00AE42AB">
        <w:rPr>
          <w:lang w:eastAsia="en-GB"/>
        </w:rPr>
        <w:t>1</w:t>
      </w:r>
      <w:r w:rsidR="001750BD" w:rsidRPr="00B80036">
        <w:rPr>
          <w:lang w:eastAsia="en-GB"/>
        </w:rPr>
        <w:t xml:space="preserve"> and the deadline for submitting comments is </w:t>
      </w:r>
      <w:r w:rsidR="00AE42AB">
        <w:rPr>
          <w:lang w:eastAsia="en-GB"/>
        </w:rPr>
        <w:t>Sunday 23</w:t>
      </w:r>
      <w:r w:rsidR="006D6B6A">
        <w:rPr>
          <w:lang w:eastAsia="en-GB"/>
        </w:rPr>
        <w:t xml:space="preserve"> </w:t>
      </w:r>
      <w:r w:rsidR="00AE42AB">
        <w:rPr>
          <w:lang w:eastAsia="en-GB"/>
        </w:rPr>
        <w:t>Janua</w:t>
      </w:r>
      <w:r w:rsidR="006D6B6A">
        <w:rPr>
          <w:lang w:eastAsia="en-GB"/>
        </w:rPr>
        <w:t>ry 202</w:t>
      </w:r>
      <w:r w:rsidR="00AE42AB">
        <w:rPr>
          <w:lang w:eastAsia="en-GB"/>
        </w:rPr>
        <w:t>2</w:t>
      </w:r>
      <w:r w:rsidRPr="00B80036">
        <w:rPr>
          <w:lang w:eastAsia="en-GB"/>
        </w:rPr>
        <w:t>.</w:t>
      </w:r>
      <w:r w:rsidR="004F0E85">
        <w:rPr>
          <w:lang w:eastAsia="en-GB"/>
        </w:rPr>
        <w:t xml:space="preserve"> </w:t>
      </w:r>
    </w:p>
    <w:p w14:paraId="7D5A1FD2" w14:textId="77777777" w:rsidR="00392978" w:rsidRPr="00B80036" w:rsidRDefault="00392978" w:rsidP="00392978">
      <w:pPr>
        <w:rPr>
          <w:lang w:eastAsia="en-GB"/>
        </w:rPr>
      </w:pPr>
    </w:p>
    <w:tbl>
      <w:tblPr>
        <w:tblStyle w:val="TableGrid"/>
        <w:tblW w:w="5000" w:type="pct"/>
        <w:tblLook w:val="04A0" w:firstRow="1" w:lastRow="0" w:firstColumn="1" w:lastColumn="0" w:noHBand="0" w:noVBand="1"/>
      </w:tblPr>
      <w:tblGrid>
        <w:gridCol w:w="9016"/>
      </w:tblGrid>
      <w:tr w:rsidR="00392978" w:rsidRPr="00B80036" w14:paraId="263BCADF" w14:textId="77777777" w:rsidTr="00835098">
        <w:tc>
          <w:tcPr>
            <w:tcW w:w="5000" w:type="pct"/>
          </w:tcPr>
          <w:p w14:paraId="0583A41E" w14:textId="77777777" w:rsidR="00392978" w:rsidRPr="00B80036" w:rsidRDefault="00392978" w:rsidP="00FB0E56">
            <w:pPr>
              <w:jc w:val="both"/>
              <w:rPr>
                <w:b/>
                <w:lang w:eastAsia="en-GB"/>
              </w:rPr>
            </w:pPr>
            <w:r w:rsidRPr="00B80036">
              <w:rPr>
                <w:b/>
                <w:lang w:eastAsia="en-GB"/>
              </w:rPr>
              <w:t>Please do not submit this document to the IAIS. All responses to the Consultation Document must be made via the Consultation Tool to enable those responses to be considered.</w:t>
            </w:r>
          </w:p>
        </w:tc>
      </w:tr>
    </w:tbl>
    <w:p w14:paraId="5EE29AC9" w14:textId="77777777" w:rsidR="00392978" w:rsidRPr="00B80036" w:rsidRDefault="00392978" w:rsidP="00392978"/>
    <w:p w14:paraId="3658FFB1" w14:textId="77777777" w:rsidR="00A5543E" w:rsidRPr="00B80036" w:rsidRDefault="00A5543E" w:rsidP="00A5543E">
      <w:pPr>
        <w:rPr>
          <w:rFonts w:ascii="Arial" w:hAnsi="Arial" w:cs="Arial"/>
          <w:b/>
        </w:rPr>
      </w:pPr>
    </w:p>
    <w:p w14:paraId="0F55E7A5" w14:textId="77777777" w:rsidR="00A5543E" w:rsidRPr="00B80036" w:rsidRDefault="00A5543E" w:rsidP="00A5543E">
      <w:pPr>
        <w:rPr>
          <w:rFonts w:ascii="Arial" w:hAnsi="Arial" w:cs="Arial"/>
          <w:b/>
          <w:iCs/>
        </w:rPr>
      </w:pPr>
    </w:p>
    <w:p w14:paraId="6DA45D36" w14:textId="77777777" w:rsidR="00730B99" w:rsidRPr="00B80036" w:rsidRDefault="00730B99" w:rsidP="00830F8A"/>
    <w:p w14:paraId="5598CA44" w14:textId="77777777" w:rsidR="00830F8A" w:rsidRPr="00B80036" w:rsidRDefault="00830F8A" w:rsidP="00F57F64"/>
    <w:p w14:paraId="61947109" w14:textId="77777777" w:rsidR="00830F8A" w:rsidRPr="00B80036" w:rsidRDefault="00830F8A" w:rsidP="00F57F64"/>
    <w:p w14:paraId="16C15A69" w14:textId="77777777" w:rsidR="00830F8A" w:rsidRPr="00B80036" w:rsidRDefault="00830F8A" w:rsidP="00F57F64"/>
    <w:p w14:paraId="12B63674" w14:textId="77777777" w:rsidR="009B44BB" w:rsidRPr="00B80036" w:rsidRDefault="009B44BB" w:rsidP="00F57F64"/>
    <w:p w14:paraId="7353BE7A" w14:textId="77777777" w:rsidR="009B44BB" w:rsidRPr="00B80036" w:rsidRDefault="009B44BB" w:rsidP="00F57F64"/>
    <w:p w14:paraId="6EBF5351" w14:textId="77777777" w:rsidR="0062434C" w:rsidRPr="00B80036" w:rsidRDefault="0062434C">
      <w:pPr>
        <w:rPr>
          <w:rFonts w:ascii="Arial" w:eastAsiaTheme="majorEastAsia" w:hAnsi="Arial" w:cstheme="majorBidi"/>
          <w:b/>
          <w:sz w:val="26"/>
          <w:szCs w:val="32"/>
        </w:rPr>
      </w:pPr>
      <w:r w:rsidRPr="00B80036">
        <w:br w:type="page"/>
      </w:r>
    </w:p>
    <w:p w14:paraId="3CEC3426" w14:textId="77777777" w:rsidR="00A5543E" w:rsidRPr="00B80036" w:rsidRDefault="00D314D3" w:rsidP="00071445">
      <w:pPr>
        <w:pStyle w:val="Heading1withoutnumber"/>
      </w:pPr>
      <w:r>
        <w:lastRenderedPageBreak/>
        <w:t>Questions:</w:t>
      </w:r>
    </w:p>
    <w:p w14:paraId="2D617EB1" w14:textId="63ECF937" w:rsidR="00292103" w:rsidRDefault="00292103" w:rsidP="00292103">
      <w:r>
        <w:t>Q1   Do you agree with the IAIS’ general objective and contemplated usage for the liquidity metrics? If not, please explain your rationale.</w:t>
      </w:r>
    </w:p>
    <w:sdt>
      <w:sdtPr>
        <w:rPr>
          <w:rFonts w:ascii="Arial" w:eastAsia="Times New Roman" w:hAnsi="Arial" w:cs="Arial"/>
          <w:sz w:val="20"/>
          <w:szCs w:val="20"/>
        </w:rPr>
        <w:id w:val="1627591945"/>
      </w:sdtPr>
      <w:sdtEndPr/>
      <w:sdtContent>
        <w:p w14:paraId="455D4C5B"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5219BA9" w14:textId="77777777" w:rsidR="003B183F" w:rsidRDefault="003B183F" w:rsidP="00292103"/>
    <w:p w14:paraId="104629D1" w14:textId="34075735" w:rsidR="00292103" w:rsidRDefault="00292103" w:rsidP="00292103">
      <w:r>
        <w:t>Q2   Do you want to propose an additional liquidity metric in addition to three metrics mentioned in this section? If yes, please describe a proposed metrics.</w:t>
      </w:r>
    </w:p>
    <w:sdt>
      <w:sdtPr>
        <w:rPr>
          <w:rFonts w:ascii="Arial" w:eastAsia="Times New Roman" w:hAnsi="Arial" w:cs="Arial"/>
          <w:sz w:val="20"/>
          <w:szCs w:val="20"/>
        </w:rPr>
        <w:id w:val="-1247572581"/>
      </w:sdtPr>
      <w:sdtEndPr/>
      <w:sdtContent>
        <w:p w14:paraId="6A3A6263"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8A94AF9" w14:textId="77777777" w:rsidR="003B183F" w:rsidRDefault="003B183F" w:rsidP="00292103"/>
    <w:p w14:paraId="6EBEDE69" w14:textId="397140A3" w:rsidR="00292103" w:rsidRDefault="00292103" w:rsidP="00292103">
      <w:r>
        <w:t>Q3   Do you know any public database with liquidity related data relevant for the development of liquidity metrics (either on a company level or on a jurisdictional level)?</w:t>
      </w:r>
    </w:p>
    <w:sdt>
      <w:sdtPr>
        <w:rPr>
          <w:rFonts w:ascii="Arial" w:eastAsia="Times New Roman" w:hAnsi="Arial" w:cs="Arial"/>
          <w:sz w:val="20"/>
          <w:szCs w:val="20"/>
        </w:rPr>
        <w:id w:val="-318497196"/>
      </w:sdtPr>
      <w:sdtEndPr/>
      <w:sdtContent>
        <w:p w14:paraId="6787729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8C98867" w14:textId="77777777" w:rsidR="003B183F" w:rsidRDefault="003B183F" w:rsidP="00292103"/>
    <w:p w14:paraId="2B6757C9" w14:textId="02446B9A" w:rsidR="00292103" w:rsidRDefault="00292103" w:rsidP="00292103">
      <w:r>
        <w:t>Q4   Is there a need to develop supplementary liquidity metrics solely for separate accounts for both EA and CPA? If not, provide suggestions how the IAIS should monitor liquidity related to separate accounts (united-linked products) for both EA and CPA?</w:t>
      </w:r>
    </w:p>
    <w:sdt>
      <w:sdtPr>
        <w:rPr>
          <w:rFonts w:ascii="Arial" w:eastAsia="Times New Roman" w:hAnsi="Arial" w:cs="Arial"/>
          <w:sz w:val="20"/>
          <w:szCs w:val="20"/>
        </w:rPr>
        <w:id w:val="-955175247"/>
      </w:sdtPr>
      <w:sdtEndPr/>
      <w:sdtContent>
        <w:p w14:paraId="44EC60E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5E0938B" w14:textId="77777777" w:rsidR="003B183F" w:rsidRDefault="003B183F" w:rsidP="00292103"/>
    <w:p w14:paraId="369F7464" w14:textId="268C2827" w:rsidR="00292103" w:rsidRDefault="00292103" w:rsidP="00292103">
      <w:r>
        <w:t xml:space="preserve">Q5   Do you prefer to collect data and calculate liquidity metrics using fungible liquidity pools approach instead of the current enterprise approach for both EA and CPA? If yes, please provide ideas on approaches to the group-wide aggregation of results. </w:t>
      </w:r>
    </w:p>
    <w:sdt>
      <w:sdtPr>
        <w:rPr>
          <w:rFonts w:ascii="Arial" w:eastAsia="Times New Roman" w:hAnsi="Arial" w:cs="Arial"/>
          <w:sz w:val="20"/>
          <w:szCs w:val="20"/>
        </w:rPr>
        <w:id w:val="-1787497116"/>
      </w:sdtPr>
      <w:sdtEndPr/>
      <w:sdtContent>
        <w:p w14:paraId="38BC0785"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9ED2BEB" w14:textId="77777777" w:rsidR="003B183F" w:rsidRDefault="003B183F" w:rsidP="00292103"/>
    <w:p w14:paraId="1E40E6EA" w14:textId="1AEC3568" w:rsidR="00292103" w:rsidRDefault="00292103" w:rsidP="00292103">
      <w:r>
        <w:t>Q6   Does the current enterprise approach lead to significant shortcomings of the liquidity monitoring? If yes, describe these shortcomings and limitations.</w:t>
      </w:r>
    </w:p>
    <w:sdt>
      <w:sdtPr>
        <w:rPr>
          <w:rFonts w:ascii="Arial" w:eastAsia="Times New Roman" w:hAnsi="Arial" w:cs="Arial"/>
          <w:sz w:val="20"/>
          <w:szCs w:val="20"/>
        </w:rPr>
        <w:id w:val="1934474016"/>
      </w:sdtPr>
      <w:sdtEndPr/>
      <w:sdtContent>
        <w:p w14:paraId="127D7E60"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2C99006" w14:textId="77777777" w:rsidR="003B183F" w:rsidRDefault="003B183F" w:rsidP="00292103"/>
    <w:p w14:paraId="3AE75688" w14:textId="19FFCBF5" w:rsidR="00292103" w:rsidRDefault="00292103" w:rsidP="00292103">
      <w:r>
        <w:t xml:space="preserve">Q7   Do you agree with the proposal to include capital instruments in the CPA and EA metrics calculations as described in this section? If not, please provide rationale and alternative suggestions. </w:t>
      </w:r>
    </w:p>
    <w:sdt>
      <w:sdtPr>
        <w:rPr>
          <w:rFonts w:ascii="Arial" w:eastAsia="Times New Roman" w:hAnsi="Arial" w:cs="Arial"/>
          <w:sz w:val="20"/>
          <w:szCs w:val="20"/>
        </w:rPr>
        <w:id w:val="315923007"/>
      </w:sdtPr>
      <w:sdtEndPr/>
      <w:sdtContent>
        <w:p w14:paraId="6788512D"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054028CF" w14:textId="77777777" w:rsidR="003B183F" w:rsidRDefault="003B183F" w:rsidP="00292103"/>
    <w:p w14:paraId="57EF69BC" w14:textId="0DF743F2" w:rsidR="00292103" w:rsidRDefault="00292103" w:rsidP="00292103">
      <w:r>
        <w:t>Q8   Do you prefer the detailed method for inclusion of capital instruments in the ILR calculation as described in this section? If not, please provide rationale.</w:t>
      </w:r>
    </w:p>
    <w:sdt>
      <w:sdtPr>
        <w:rPr>
          <w:rFonts w:ascii="Arial" w:eastAsia="Times New Roman" w:hAnsi="Arial" w:cs="Arial"/>
          <w:sz w:val="20"/>
          <w:szCs w:val="20"/>
        </w:rPr>
        <w:id w:val="-2074886564"/>
      </w:sdtPr>
      <w:sdtEndPr/>
      <w:sdtContent>
        <w:p w14:paraId="1F2EC59A" w14:textId="77777777" w:rsidR="003B183F" w:rsidRDefault="003B183F" w:rsidP="003B183F">
          <w:pPr>
            <w:spacing w:after="0" w:line="240" w:lineRule="auto"/>
            <w:rPr>
              <w:rFonts w:ascii="Arial" w:eastAsia="Times New Roman" w:hAnsi="Arial" w:cs="Arial"/>
              <w:sz w:val="20"/>
              <w:szCs w:val="20"/>
            </w:rPr>
          </w:pPr>
          <w:r w:rsidRPr="00864F95">
            <w:rPr>
              <w:rFonts w:ascii="Arial" w:eastAsia="Times New Roman" w:hAnsi="Arial" w:cs="Arial"/>
              <w:color w:val="808080"/>
              <w:sz w:val="20"/>
              <w:szCs w:val="20"/>
            </w:rPr>
            <w:t>Comment Box</w:t>
          </w:r>
        </w:p>
      </w:sdtContent>
    </w:sdt>
    <w:p w14:paraId="61F6550F" w14:textId="77777777" w:rsidR="003B183F" w:rsidRDefault="003B183F" w:rsidP="00292103"/>
    <w:p w14:paraId="16B83255" w14:textId="10BCBDC3" w:rsidR="00292103" w:rsidRDefault="00292103" w:rsidP="00292103">
      <w:r>
        <w:t>Q9   Do you agree with the above described CPA to calculate the baseline cash flow projection, to apply the liquidity stress test and then to evaluate its impact and potential application of haircuts on assets? If not, please explain and provide suggestions.</w:t>
      </w:r>
    </w:p>
    <w:sdt>
      <w:sdtPr>
        <w:rPr>
          <w:rFonts w:ascii="Arial" w:eastAsia="Times New Roman" w:hAnsi="Arial" w:cs="Arial"/>
          <w:sz w:val="20"/>
          <w:szCs w:val="20"/>
        </w:rPr>
        <w:id w:val="1649167687"/>
      </w:sdtPr>
      <w:sdtEndPr/>
      <w:sdtContent>
        <w:p w14:paraId="7F4C4F65"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3C895C4" w14:textId="77777777" w:rsidR="003B183F" w:rsidRDefault="003B183F" w:rsidP="00292103"/>
    <w:p w14:paraId="336FA2F9" w14:textId="354FCDF4" w:rsidR="00292103" w:rsidRDefault="00292103" w:rsidP="00292103">
      <w:r>
        <w:t>Q10   Do you agree with the proposal to perform the CPA at the holding company level? If not, please explain and provide suggestions.</w:t>
      </w:r>
    </w:p>
    <w:sdt>
      <w:sdtPr>
        <w:rPr>
          <w:rFonts w:ascii="Arial" w:eastAsia="Times New Roman" w:hAnsi="Arial" w:cs="Arial"/>
          <w:sz w:val="20"/>
          <w:szCs w:val="20"/>
        </w:rPr>
        <w:id w:val="362789747"/>
      </w:sdtPr>
      <w:sdtEndPr/>
      <w:sdtContent>
        <w:p w14:paraId="4256C50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19CE37B" w14:textId="77777777" w:rsidR="003B183F" w:rsidRDefault="003B183F" w:rsidP="00292103"/>
    <w:p w14:paraId="5CCBF7DB" w14:textId="4FE02F42" w:rsidR="00292103" w:rsidRDefault="00292103" w:rsidP="00292103">
      <w:r>
        <w:t>Q11   Are there any other categories of cash inflows or outflows that should be added that were not captured by the cash flow statement, such as asset management activities?</w:t>
      </w:r>
    </w:p>
    <w:sdt>
      <w:sdtPr>
        <w:rPr>
          <w:rFonts w:ascii="Arial" w:eastAsia="Times New Roman" w:hAnsi="Arial" w:cs="Arial"/>
          <w:sz w:val="20"/>
          <w:szCs w:val="20"/>
        </w:rPr>
        <w:id w:val="953599282"/>
      </w:sdtPr>
      <w:sdtEndPr/>
      <w:sdtContent>
        <w:p w14:paraId="433EA97D"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681CB92" w14:textId="77777777" w:rsidR="003B183F" w:rsidRDefault="003B183F" w:rsidP="00292103"/>
    <w:p w14:paraId="17F07EC1" w14:textId="0912B1D9" w:rsidR="00292103" w:rsidRDefault="00292103" w:rsidP="00292103">
      <w:r>
        <w:t>Q12   Do you agree with using haircuts from the ILR for assets to be applied if there is a cash flow deficit? If not, provide your explanation and suggestions.</w:t>
      </w:r>
    </w:p>
    <w:sdt>
      <w:sdtPr>
        <w:rPr>
          <w:rFonts w:ascii="Arial" w:eastAsia="Times New Roman" w:hAnsi="Arial" w:cs="Arial"/>
          <w:sz w:val="20"/>
          <w:szCs w:val="20"/>
        </w:rPr>
        <w:id w:val="1480736828"/>
      </w:sdtPr>
      <w:sdtEndPr/>
      <w:sdtContent>
        <w:p w14:paraId="4C25FD2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D3D84EF" w14:textId="77777777" w:rsidR="003B183F" w:rsidRDefault="003B183F" w:rsidP="00292103"/>
    <w:p w14:paraId="003B5EB3" w14:textId="61C87C30" w:rsidR="00292103" w:rsidRDefault="00292103" w:rsidP="00292103">
      <w:r>
        <w:t xml:space="preserve">Q13   Do you prefer to collect and analyse only high-level cash flow projections, </w:t>
      </w:r>
      <w:proofErr w:type="spellStart"/>
      <w:r>
        <w:t>ie</w:t>
      </w:r>
      <w:proofErr w:type="spellEnd"/>
      <w:r>
        <w:t xml:space="preserve">. aggregate cash inflows and outflows of the three categories mentioned above? If yes, provide your clarification. </w:t>
      </w:r>
    </w:p>
    <w:sdt>
      <w:sdtPr>
        <w:rPr>
          <w:rFonts w:ascii="Arial" w:eastAsia="Times New Roman" w:hAnsi="Arial" w:cs="Arial"/>
          <w:sz w:val="20"/>
          <w:szCs w:val="20"/>
        </w:rPr>
        <w:id w:val="1941556049"/>
      </w:sdtPr>
      <w:sdtEndPr/>
      <w:sdtContent>
        <w:p w14:paraId="2C503836"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3511D45" w14:textId="77777777" w:rsidR="003B183F" w:rsidRDefault="003B183F" w:rsidP="00292103"/>
    <w:p w14:paraId="00ACAF6E" w14:textId="64070A89" w:rsidR="00292103" w:rsidRDefault="00292103" w:rsidP="00292103">
      <w:r>
        <w:t xml:space="preserve">Q14   Do you prefer to collect and analyse the underlying cash inflows and outflows as listed in Annex 2? Note that this option provides more accuracy at the cost of a higher reporting burden. If yes, explain your reasoning. </w:t>
      </w:r>
    </w:p>
    <w:sdt>
      <w:sdtPr>
        <w:rPr>
          <w:rFonts w:ascii="Arial" w:eastAsia="Times New Roman" w:hAnsi="Arial" w:cs="Arial"/>
          <w:sz w:val="20"/>
          <w:szCs w:val="20"/>
        </w:rPr>
        <w:id w:val="986355466"/>
      </w:sdtPr>
      <w:sdtEndPr/>
      <w:sdtContent>
        <w:p w14:paraId="6534EC5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D2C0913" w14:textId="77777777" w:rsidR="003B183F" w:rsidRDefault="003B183F" w:rsidP="00292103"/>
    <w:p w14:paraId="7BD2BD7D" w14:textId="77A5C51F" w:rsidR="00292103" w:rsidRDefault="00292103" w:rsidP="00292103">
      <w:r>
        <w:t xml:space="preserve">Q15   Do you have any suggestions for changes or additions to the inflows and outflows as listed in Annex 2? </w:t>
      </w:r>
    </w:p>
    <w:sdt>
      <w:sdtPr>
        <w:rPr>
          <w:rFonts w:ascii="Arial" w:eastAsia="Times New Roman" w:hAnsi="Arial" w:cs="Arial"/>
          <w:sz w:val="20"/>
          <w:szCs w:val="20"/>
        </w:rPr>
        <w:id w:val="-1188751250"/>
      </w:sdtPr>
      <w:sdtEndPr/>
      <w:sdtContent>
        <w:p w14:paraId="464BF4D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D882F7F" w14:textId="77777777" w:rsidR="003B183F" w:rsidRDefault="003B183F" w:rsidP="00292103"/>
    <w:p w14:paraId="5EBC6B44" w14:textId="4476C164" w:rsidR="00292103" w:rsidRDefault="00292103" w:rsidP="00292103">
      <w:r>
        <w:t>Q16   Do you agree with the proposed main types of cash outflows as specified in this section? If not, please provide clarification and suggestions for other outflows that should be considered.</w:t>
      </w:r>
    </w:p>
    <w:sdt>
      <w:sdtPr>
        <w:rPr>
          <w:rFonts w:ascii="Arial" w:eastAsia="Times New Roman" w:hAnsi="Arial" w:cs="Arial"/>
          <w:sz w:val="20"/>
          <w:szCs w:val="20"/>
        </w:rPr>
        <w:id w:val="56446210"/>
      </w:sdtPr>
      <w:sdtEndPr/>
      <w:sdtContent>
        <w:p w14:paraId="4D8DB165" w14:textId="77777777" w:rsidR="003B183F" w:rsidRDefault="003B183F" w:rsidP="003B183F">
          <w:pPr>
            <w:spacing w:after="0" w:line="240" w:lineRule="auto"/>
            <w:rPr>
              <w:rFonts w:ascii="Arial" w:eastAsia="Times New Roman" w:hAnsi="Arial" w:cs="Arial"/>
              <w:sz w:val="20"/>
              <w:szCs w:val="20"/>
            </w:rPr>
          </w:pPr>
          <w:r w:rsidRPr="00864F95">
            <w:rPr>
              <w:rFonts w:ascii="Arial" w:eastAsia="Times New Roman" w:hAnsi="Arial" w:cs="Arial"/>
              <w:color w:val="808080"/>
              <w:sz w:val="20"/>
              <w:szCs w:val="20"/>
            </w:rPr>
            <w:t>Comment Box</w:t>
          </w:r>
        </w:p>
      </w:sdtContent>
    </w:sdt>
    <w:p w14:paraId="1AE5EC80" w14:textId="77777777" w:rsidR="003B183F" w:rsidRDefault="003B183F" w:rsidP="00292103"/>
    <w:p w14:paraId="7D6C02DD" w14:textId="2F6BE622" w:rsidR="00292103" w:rsidRDefault="00292103" w:rsidP="00292103">
      <w:r>
        <w:t>Q17   Do you agree with the three proposed time horizons (30 days, 90 days and 1-year) for the CPA? If not, please explain and provide your suggestions.</w:t>
      </w:r>
    </w:p>
    <w:sdt>
      <w:sdtPr>
        <w:rPr>
          <w:rFonts w:ascii="Arial" w:eastAsia="Times New Roman" w:hAnsi="Arial" w:cs="Arial"/>
          <w:sz w:val="20"/>
          <w:szCs w:val="20"/>
        </w:rPr>
        <w:id w:val="784086065"/>
      </w:sdtPr>
      <w:sdtEndPr/>
      <w:sdtContent>
        <w:p w14:paraId="42565658"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9687506" w14:textId="77777777" w:rsidR="003B183F" w:rsidRDefault="003B183F" w:rsidP="00292103"/>
    <w:p w14:paraId="33B6DF75" w14:textId="51908604" w:rsidR="00292103" w:rsidRDefault="00292103" w:rsidP="00292103">
      <w:r>
        <w:t>Q18   Do you think the investing section of the cash flow statement should be stressed in the LST? Would you add or subtract certain investing cash inflows or outflows as listed in Annex 2?</w:t>
      </w:r>
    </w:p>
    <w:sdt>
      <w:sdtPr>
        <w:rPr>
          <w:rFonts w:ascii="Arial" w:eastAsia="Times New Roman" w:hAnsi="Arial" w:cs="Arial"/>
          <w:sz w:val="20"/>
          <w:szCs w:val="20"/>
        </w:rPr>
        <w:id w:val="1304897117"/>
      </w:sdtPr>
      <w:sdtEndPr/>
      <w:sdtContent>
        <w:p w14:paraId="0D639406"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0722AE2" w14:textId="77777777" w:rsidR="003B183F" w:rsidRDefault="003B183F" w:rsidP="00292103"/>
    <w:p w14:paraId="09A7590F" w14:textId="3C5C4C57" w:rsidR="00292103" w:rsidRDefault="00292103" w:rsidP="00292103">
      <w:r>
        <w:t>Q19   Do you think the operating section of the cash flow statement should be stressed in the LST? Would you add or subtract certain operating cash inflows or outflows as listed in Annex 2?</w:t>
      </w:r>
    </w:p>
    <w:sdt>
      <w:sdtPr>
        <w:rPr>
          <w:rFonts w:ascii="Arial" w:eastAsia="Times New Roman" w:hAnsi="Arial" w:cs="Arial"/>
          <w:sz w:val="20"/>
          <w:szCs w:val="20"/>
        </w:rPr>
        <w:id w:val="282935800"/>
      </w:sdtPr>
      <w:sdtEndPr/>
      <w:sdtContent>
        <w:p w14:paraId="0C41A463"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BE983B7" w14:textId="77777777" w:rsidR="003B183F" w:rsidRDefault="003B183F" w:rsidP="00292103"/>
    <w:p w14:paraId="741047D9" w14:textId="3305E32F" w:rsidR="00292103" w:rsidRDefault="00292103" w:rsidP="00292103">
      <w:r>
        <w:t>Q20   Do you think the financing section of the cash flow statement should be stressed in the LST? Would you add or subtract certain financing cash inflows or outflows as listed in Annex 2?</w:t>
      </w:r>
    </w:p>
    <w:sdt>
      <w:sdtPr>
        <w:rPr>
          <w:rFonts w:ascii="Arial" w:eastAsia="Times New Roman" w:hAnsi="Arial" w:cs="Arial"/>
          <w:sz w:val="20"/>
          <w:szCs w:val="20"/>
        </w:rPr>
        <w:id w:val="1367718240"/>
      </w:sdtPr>
      <w:sdtEndPr/>
      <w:sdtContent>
        <w:p w14:paraId="7E19385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03E95087" w14:textId="77777777" w:rsidR="003B183F" w:rsidRDefault="003B183F" w:rsidP="00292103"/>
    <w:p w14:paraId="2FA140E6" w14:textId="4C8DEA7D" w:rsidR="00292103" w:rsidRDefault="00292103" w:rsidP="00292103">
      <w:r>
        <w:t>Q21   Do you agree with the selected adverse liquidity stress scenario? If not, provide clarification.</w:t>
      </w:r>
    </w:p>
    <w:sdt>
      <w:sdtPr>
        <w:rPr>
          <w:rFonts w:ascii="Arial" w:eastAsia="Times New Roman" w:hAnsi="Arial" w:cs="Arial"/>
          <w:sz w:val="20"/>
          <w:szCs w:val="20"/>
        </w:rPr>
        <w:id w:val="1068612768"/>
      </w:sdtPr>
      <w:sdtEndPr/>
      <w:sdtContent>
        <w:p w14:paraId="547285C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B69AB2D" w14:textId="77777777" w:rsidR="003B183F" w:rsidRDefault="003B183F" w:rsidP="00292103"/>
    <w:p w14:paraId="58439524" w14:textId="7BD67694" w:rsidR="00292103" w:rsidRDefault="00292103" w:rsidP="00292103">
      <w:r>
        <w:t>Q22   Do you want to propose a different liquidity stress scenario? If yes, provide its detailed parameters.</w:t>
      </w:r>
    </w:p>
    <w:sdt>
      <w:sdtPr>
        <w:rPr>
          <w:rFonts w:ascii="Arial" w:eastAsia="Times New Roman" w:hAnsi="Arial" w:cs="Arial"/>
          <w:sz w:val="20"/>
          <w:szCs w:val="20"/>
        </w:rPr>
        <w:id w:val="-1850473011"/>
      </w:sdtPr>
      <w:sdtEndPr/>
      <w:sdtContent>
        <w:p w14:paraId="707429AF"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D900346" w14:textId="77777777" w:rsidR="003B183F" w:rsidRDefault="003B183F" w:rsidP="00292103"/>
    <w:p w14:paraId="33BD5AE6" w14:textId="4D88341F" w:rsidR="00292103" w:rsidRDefault="00292103" w:rsidP="00292103">
      <w:r>
        <w:t xml:space="preserve">Q23   Do you agree with the proposed adverse GDP and market parameters? If not, provide clarification and suggestions. </w:t>
      </w:r>
    </w:p>
    <w:sdt>
      <w:sdtPr>
        <w:rPr>
          <w:rFonts w:ascii="Arial" w:eastAsia="Times New Roman" w:hAnsi="Arial" w:cs="Arial"/>
          <w:sz w:val="20"/>
          <w:szCs w:val="20"/>
        </w:rPr>
        <w:id w:val="-2096692773"/>
      </w:sdtPr>
      <w:sdtEndPr/>
      <w:sdtContent>
        <w:p w14:paraId="36EB3565"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D445529" w14:textId="77777777" w:rsidR="003B183F" w:rsidRDefault="003B183F" w:rsidP="00292103"/>
    <w:p w14:paraId="0254F4B6" w14:textId="412C0558" w:rsidR="00292103" w:rsidRDefault="00292103" w:rsidP="00292103">
      <w:r>
        <w:t xml:space="preserve">Q24   Do you agree that CPA adverse scenario should contain adverse parameters related to insurance liabilities? If yes, do you have any suggestions for adverse parameters for cash outflows related to insurance liabilities? </w:t>
      </w:r>
    </w:p>
    <w:sdt>
      <w:sdtPr>
        <w:rPr>
          <w:rFonts w:ascii="Arial" w:eastAsia="Times New Roman" w:hAnsi="Arial" w:cs="Arial"/>
          <w:sz w:val="20"/>
          <w:szCs w:val="20"/>
        </w:rPr>
        <w:id w:val="1848671588"/>
      </w:sdtPr>
      <w:sdtEndPr/>
      <w:sdtContent>
        <w:p w14:paraId="65A1C76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0D5D9FC" w14:textId="77777777" w:rsidR="003B183F" w:rsidRDefault="003B183F" w:rsidP="00292103"/>
    <w:p w14:paraId="103CA4B7" w14:textId="2A2454C3" w:rsidR="00292103" w:rsidRDefault="00292103" w:rsidP="00292103">
      <w:r>
        <w:t>Q25   Do you want to add other variables and parameters into the adverse liquidity stress scenario? If yes, provide suggestions.</w:t>
      </w:r>
    </w:p>
    <w:sdt>
      <w:sdtPr>
        <w:rPr>
          <w:rFonts w:ascii="Arial" w:eastAsia="Times New Roman" w:hAnsi="Arial" w:cs="Arial"/>
          <w:sz w:val="20"/>
          <w:szCs w:val="20"/>
        </w:rPr>
        <w:id w:val="-1739778198"/>
      </w:sdtPr>
      <w:sdtEndPr/>
      <w:sdtContent>
        <w:p w14:paraId="3E585414"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ED49362" w14:textId="77777777" w:rsidR="003B183F" w:rsidRDefault="003B183F" w:rsidP="00292103"/>
    <w:p w14:paraId="0187B59C" w14:textId="61D81871" w:rsidR="00292103" w:rsidRDefault="00292103" w:rsidP="00292103">
      <w:r>
        <w:t>Q26   Do you prefer to have several targeted stressed scenarios/projections (in comparison to the currently proposed one combined adverse scenario)?</w:t>
      </w:r>
    </w:p>
    <w:sdt>
      <w:sdtPr>
        <w:rPr>
          <w:rFonts w:ascii="Arial" w:eastAsia="Times New Roman" w:hAnsi="Arial" w:cs="Arial"/>
          <w:sz w:val="20"/>
          <w:szCs w:val="20"/>
        </w:rPr>
        <w:id w:val="1255009067"/>
      </w:sdtPr>
      <w:sdtEndPr/>
      <w:sdtContent>
        <w:p w14:paraId="1958F5F0" w14:textId="77777777" w:rsidR="003B183F" w:rsidRDefault="003B183F" w:rsidP="003B183F">
          <w:pPr>
            <w:spacing w:after="0" w:line="240" w:lineRule="auto"/>
            <w:rPr>
              <w:rFonts w:ascii="Arial" w:eastAsia="Times New Roman" w:hAnsi="Arial" w:cs="Arial"/>
              <w:sz w:val="20"/>
              <w:szCs w:val="20"/>
            </w:rPr>
          </w:pPr>
          <w:r w:rsidRPr="00864F95">
            <w:rPr>
              <w:rFonts w:ascii="Arial" w:eastAsia="Times New Roman" w:hAnsi="Arial" w:cs="Arial"/>
              <w:color w:val="808080"/>
              <w:sz w:val="20"/>
              <w:szCs w:val="20"/>
            </w:rPr>
            <w:t>Comment Box</w:t>
          </w:r>
        </w:p>
      </w:sdtContent>
    </w:sdt>
    <w:p w14:paraId="3A2E8310" w14:textId="6E91D15F" w:rsidR="003B183F" w:rsidRDefault="003B183F" w:rsidP="00292103">
      <w:pPr>
        <w:rPr>
          <w:lang w:val="en-US"/>
        </w:rPr>
      </w:pPr>
    </w:p>
    <w:p w14:paraId="068C48B4" w14:textId="4285D6C6" w:rsidR="005B44A2" w:rsidRDefault="005B44A2" w:rsidP="005B44A2">
      <w:r>
        <w:t xml:space="preserve">Q27   </w:t>
      </w:r>
      <w:r w:rsidRPr="005B44A2">
        <w:t>Do you believe the selected adverse liquidity scenario is relevant to the countries you operate in? If not, what would be the relevant stresses for the countries you operate in?</w:t>
      </w:r>
    </w:p>
    <w:sdt>
      <w:sdtPr>
        <w:rPr>
          <w:rFonts w:ascii="Arial" w:eastAsia="Times New Roman" w:hAnsi="Arial" w:cs="Arial"/>
          <w:sz w:val="20"/>
          <w:szCs w:val="20"/>
        </w:rPr>
        <w:id w:val="-104967213"/>
      </w:sdtPr>
      <w:sdtEndPr/>
      <w:sdtContent>
        <w:p w14:paraId="4ECDC6B4" w14:textId="77777777" w:rsidR="005B44A2" w:rsidRDefault="005B44A2" w:rsidP="005B44A2">
          <w:pPr>
            <w:spacing w:after="0" w:line="240" w:lineRule="auto"/>
            <w:rPr>
              <w:rFonts w:ascii="Arial" w:eastAsia="Times New Roman" w:hAnsi="Arial" w:cs="Arial"/>
              <w:sz w:val="20"/>
              <w:szCs w:val="20"/>
            </w:rPr>
          </w:pPr>
          <w:r w:rsidRPr="005F25CB">
            <w:rPr>
              <w:rFonts w:ascii="Arial" w:eastAsia="Times New Roman" w:hAnsi="Arial" w:cs="Arial"/>
              <w:color w:val="808080"/>
              <w:sz w:val="20"/>
              <w:szCs w:val="20"/>
            </w:rPr>
            <w:t>Comment Box</w:t>
          </w:r>
        </w:p>
      </w:sdtContent>
    </w:sdt>
    <w:p w14:paraId="6B1A1854" w14:textId="77777777" w:rsidR="005B44A2" w:rsidRPr="005B44A2" w:rsidRDefault="005B44A2" w:rsidP="00292103">
      <w:pPr>
        <w:rPr>
          <w:lang w:val="en-US"/>
        </w:rPr>
      </w:pPr>
    </w:p>
    <w:p w14:paraId="4E4EE3D5" w14:textId="7042B27B" w:rsidR="00292103" w:rsidRDefault="00292103" w:rsidP="00292103">
      <w:r>
        <w:t>Q2</w:t>
      </w:r>
      <w:r w:rsidR="005F25CB">
        <w:t>8</w:t>
      </w:r>
      <w:r>
        <w:t xml:space="preserve">   Do you agree with the summary of benefits and limitations of the CPA? If not, please provide some clarification. </w:t>
      </w:r>
    </w:p>
    <w:sdt>
      <w:sdtPr>
        <w:rPr>
          <w:rFonts w:ascii="Arial" w:eastAsia="Times New Roman" w:hAnsi="Arial" w:cs="Arial"/>
          <w:sz w:val="20"/>
          <w:szCs w:val="20"/>
        </w:rPr>
        <w:id w:val="-320272154"/>
      </w:sdtPr>
      <w:sdtEndPr/>
      <w:sdtContent>
        <w:p w14:paraId="4D5749A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39A0314" w14:textId="77777777" w:rsidR="003B183F" w:rsidRDefault="003B183F" w:rsidP="00292103"/>
    <w:p w14:paraId="43874B21" w14:textId="4F902FF8" w:rsidR="00292103" w:rsidRDefault="00292103" w:rsidP="00292103">
      <w:r>
        <w:t>Q2</w:t>
      </w:r>
      <w:r w:rsidR="005F25CB">
        <w:t>9</w:t>
      </w:r>
      <w:r>
        <w:t xml:space="preserve">   Do you agree with the consideration of differences in liquidity profiles of life insurers, non-life insurers and reinsurers in the ILR liquidity needs factors? If not, please explain and provide your suggestions.</w:t>
      </w:r>
    </w:p>
    <w:sdt>
      <w:sdtPr>
        <w:rPr>
          <w:rFonts w:ascii="Arial" w:eastAsia="Times New Roman" w:hAnsi="Arial" w:cs="Arial"/>
          <w:sz w:val="20"/>
          <w:szCs w:val="20"/>
        </w:rPr>
        <w:id w:val="885370504"/>
      </w:sdtPr>
      <w:sdtEndPr/>
      <w:sdtContent>
        <w:p w14:paraId="036CFDEB"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97B4DC1" w14:textId="77777777" w:rsidR="003B183F" w:rsidRDefault="003B183F" w:rsidP="00292103"/>
    <w:p w14:paraId="385A13BF" w14:textId="1161FC1D" w:rsidR="00292103" w:rsidRDefault="00292103" w:rsidP="00292103">
      <w:r>
        <w:t>Q</w:t>
      </w:r>
      <w:r w:rsidR="005F25CB">
        <w:t>30</w:t>
      </w:r>
      <w:r>
        <w:t xml:space="preserve">   Do you agree with the use of two time horizons for the EA: 1-year and 3-month time horizons? If not, please explain and provide your suggestions.</w:t>
      </w:r>
    </w:p>
    <w:sdt>
      <w:sdtPr>
        <w:rPr>
          <w:rFonts w:ascii="Arial" w:eastAsia="Times New Roman" w:hAnsi="Arial" w:cs="Arial"/>
          <w:sz w:val="20"/>
          <w:szCs w:val="20"/>
        </w:rPr>
        <w:id w:val="-1272860190"/>
      </w:sdtPr>
      <w:sdtEndPr/>
      <w:sdtContent>
        <w:p w14:paraId="40CF41A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0AF45296" w14:textId="77777777" w:rsidR="003B183F" w:rsidRDefault="003B183F" w:rsidP="00292103"/>
    <w:p w14:paraId="72B4494B" w14:textId="7BBBFD55" w:rsidR="00292103" w:rsidRDefault="00292103" w:rsidP="00292103">
      <w:r>
        <w:t>Q3</w:t>
      </w:r>
      <w:r w:rsidR="005F25CB">
        <w:t>1</w:t>
      </w:r>
      <w:r>
        <w:t xml:space="preserve">   Do you prefer to calculate 3-month time horizon similarly to the BCBS’ LCR, </w:t>
      </w:r>
      <w:proofErr w:type="spellStart"/>
      <w:r>
        <w:t>ie</w:t>
      </w:r>
      <w:proofErr w:type="spellEnd"/>
      <w:r>
        <w:t>. 3-month ILR liquidity sources (as defined in the Table 5) will be divided by net 3-month cash outflows (a difference between cash outflows and inflows from all operating, financing and funding activities as defined in the Chapter 2)? If not provide your comments.</w:t>
      </w:r>
    </w:p>
    <w:sdt>
      <w:sdtPr>
        <w:rPr>
          <w:rFonts w:ascii="Arial" w:eastAsia="Times New Roman" w:hAnsi="Arial" w:cs="Arial"/>
          <w:sz w:val="20"/>
          <w:szCs w:val="20"/>
        </w:rPr>
        <w:id w:val="1908334034"/>
      </w:sdtPr>
      <w:sdtEndPr/>
      <w:sdtContent>
        <w:p w14:paraId="11B227C2"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1724C22" w14:textId="77777777" w:rsidR="003B183F" w:rsidRDefault="003B183F" w:rsidP="00292103"/>
    <w:p w14:paraId="096CCA52" w14:textId="78338CE0" w:rsidR="00292103" w:rsidRDefault="00292103" w:rsidP="00292103">
      <w:r>
        <w:t>Q3</w:t>
      </w:r>
      <w:r w:rsidR="005F25CB">
        <w:t>2</w:t>
      </w:r>
      <w:r>
        <w:t xml:space="preserve">   Do you agree with the proposed approach to financials? If not, please explain and provide your suggestions.</w:t>
      </w:r>
    </w:p>
    <w:sdt>
      <w:sdtPr>
        <w:rPr>
          <w:rFonts w:ascii="Arial" w:eastAsia="Times New Roman" w:hAnsi="Arial" w:cs="Arial"/>
          <w:sz w:val="20"/>
          <w:szCs w:val="20"/>
        </w:rPr>
        <w:id w:val="-808788390"/>
      </w:sdtPr>
      <w:sdtEndPr/>
      <w:sdtContent>
        <w:p w14:paraId="4CAC3CD0"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97C7D73" w14:textId="77777777" w:rsidR="003B183F" w:rsidRDefault="003B183F" w:rsidP="00292103"/>
    <w:p w14:paraId="2D9A59DF" w14:textId="43F90016" w:rsidR="00292103" w:rsidRDefault="00292103" w:rsidP="00292103">
      <w:r>
        <w:t>Q3</w:t>
      </w:r>
      <w:r w:rsidR="005F25CB">
        <w:t>3</w:t>
      </w:r>
      <w:r>
        <w:t xml:space="preserve">   Do you agree with the proposed approach to investment funds? If not, please explain and provide your suggestions.</w:t>
      </w:r>
    </w:p>
    <w:sdt>
      <w:sdtPr>
        <w:rPr>
          <w:rFonts w:ascii="Arial" w:eastAsia="Times New Roman" w:hAnsi="Arial" w:cs="Arial"/>
          <w:sz w:val="20"/>
          <w:szCs w:val="20"/>
        </w:rPr>
        <w:id w:val="-291833910"/>
      </w:sdtPr>
      <w:sdtEndPr/>
      <w:sdtContent>
        <w:p w14:paraId="3AA9592D"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F2486A2" w14:textId="77777777" w:rsidR="003B183F" w:rsidRDefault="003B183F" w:rsidP="00292103"/>
    <w:p w14:paraId="15768EB0" w14:textId="09486B36" w:rsidR="00292103" w:rsidRDefault="00292103" w:rsidP="00292103">
      <w:r>
        <w:t>Q3</w:t>
      </w:r>
      <w:r w:rsidR="005F25CB">
        <w:t>4</w:t>
      </w:r>
      <w:r>
        <w:t xml:space="preserve">   Do you agree with the proposed factors for sovereign/PSE/GSE debt instruments? If not, please explain and provide your suggestions.</w:t>
      </w:r>
    </w:p>
    <w:sdt>
      <w:sdtPr>
        <w:rPr>
          <w:rFonts w:ascii="Arial" w:eastAsia="Times New Roman" w:hAnsi="Arial" w:cs="Arial"/>
          <w:sz w:val="20"/>
          <w:szCs w:val="20"/>
        </w:rPr>
        <w:id w:val="71549599"/>
      </w:sdtPr>
      <w:sdtEndPr/>
      <w:sdtContent>
        <w:p w14:paraId="596BFFE4"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67FDBD7" w14:textId="77777777" w:rsidR="003B183F" w:rsidRDefault="003B183F" w:rsidP="00292103"/>
    <w:p w14:paraId="004CC524" w14:textId="1B734539" w:rsidR="00292103" w:rsidRDefault="00292103" w:rsidP="00292103">
      <w:r>
        <w:t>Q3</w:t>
      </w:r>
      <w:r w:rsidR="005F25CB">
        <w:t>5</w:t>
      </w:r>
      <w:r>
        <w:t xml:space="preserve">   Do you agree with the proposed factors for non-financial corporate debt instruments (including covered bonds)? If not, please explain and provide your suggestions.</w:t>
      </w:r>
    </w:p>
    <w:sdt>
      <w:sdtPr>
        <w:rPr>
          <w:rFonts w:ascii="Arial" w:eastAsia="Times New Roman" w:hAnsi="Arial" w:cs="Arial"/>
          <w:sz w:val="20"/>
          <w:szCs w:val="20"/>
        </w:rPr>
        <w:id w:val="-1040056614"/>
      </w:sdtPr>
      <w:sdtEndPr/>
      <w:sdtContent>
        <w:p w14:paraId="30BE456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DAEABC8" w14:textId="77777777" w:rsidR="003B183F" w:rsidRDefault="003B183F" w:rsidP="00292103"/>
    <w:p w14:paraId="1C33A955" w14:textId="3EF82723" w:rsidR="00292103" w:rsidRDefault="00292103" w:rsidP="00292103">
      <w:r>
        <w:t>Q3</w:t>
      </w:r>
      <w:r w:rsidR="005F25CB">
        <w:t>6</w:t>
      </w:r>
      <w:r>
        <w:t xml:space="preserve">   Do you agree with the proposed factors for financial corporate debt instruments? If not, please explain and provide your suggestions.</w:t>
      </w:r>
    </w:p>
    <w:sdt>
      <w:sdtPr>
        <w:rPr>
          <w:rFonts w:ascii="Arial" w:eastAsia="Times New Roman" w:hAnsi="Arial" w:cs="Arial"/>
          <w:sz w:val="20"/>
          <w:szCs w:val="20"/>
        </w:rPr>
        <w:id w:val="-74979090"/>
      </w:sdtPr>
      <w:sdtEndPr/>
      <w:sdtContent>
        <w:p w14:paraId="380CC4C2"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E20DCD3" w14:textId="77777777" w:rsidR="003B183F" w:rsidRDefault="003B183F" w:rsidP="00292103"/>
    <w:p w14:paraId="04F3DEA7" w14:textId="6061DF2F" w:rsidR="00292103" w:rsidRDefault="00292103" w:rsidP="00292103">
      <w:r>
        <w:t>Q3</w:t>
      </w:r>
      <w:r w:rsidR="005F25CB">
        <w:t>7</w:t>
      </w:r>
      <w:r>
        <w:t xml:space="preserve">   Do you agree with the proposed factors for common equity (both financials and non-financials)? If not, please explain and provide your suggestions.</w:t>
      </w:r>
    </w:p>
    <w:sdt>
      <w:sdtPr>
        <w:rPr>
          <w:rFonts w:ascii="Arial" w:eastAsia="Times New Roman" w:hAnsi="Arial" w:cs="Arial"/>
          <w:sz w:val="20"/>
          <w:szCs w:val="20"/>
        </w:rPr>
        <w:id w:val="-1848016198"/>
      </w:sdtPr>
      <w:sdtEndPr/>
      <w:sdtContent>
        <w:p w14:paraId="33F2E45B"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500C0AF" w14:textId="77777777" w:rsidR="003B183F" w:rsidRDefault="003B183F" w:rsidP="00292103"/>
    <w:p w14:paraId="1AB15415" w14:textId="3962D824" w:rsidR="00292103" w:rsidRDefault="00292103" w:rsidP="00292103">
      <w:r>
        <w:t>Q3</w:t>
      </w:r>
      <w:r w:rsidR="005F25CB">
        <w:t>8</w:t>
      </w:r>
      <w:r>
        <w:t xml:space="preserve">   Do you agree with the proposed factors for selected liquid investment funds? If not, please explain and provide your suggestions.</w:t>
      </w:r>
    </w:p>
    <w:sdt>
      <w:sdtPr>
        <w:rPr>
          <w:rFonts w:ascii="Arial" w:eastAsia="Times New Roman" w:hAnsi="Arial" w:cs="Arial"/>
          <w:sz w:val="20"/>
          <w:szCs w:val="20"/>
        </w:rPr>
        <w:id w:val="486678653"/>
      </w:sdtPr>
      <w:sdtEndPr/>
      <w:sdtContent>
        <w:p w14:paraId="5B066577"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B47D9F3" w14:textId="77777777" w:rsidR="003B183F" w:rsidRDefault="003B183F" w:rsidP="00292103"/>
    <w:p w14:paraId="1FF371F0" w14:textId="534F471D" w:rsidR="00292103" w:rsidRDefault="00292103" w:rsidP="00292103">
      <w:r>
        <w:t>Q3</w:t>
      </w:r>
      <w:r w:rsidR="005F25CB">
        <w:t>9</w:t>
      </w:r>
      <w:r>
        <w:t xml:space="preserve">   Do you agree with the proposed factors for non-life premiums? If not, please explain and provide your suggestions.</w:t>
      </w:r>
    </w:p>
    <w:sdt>
      <w:sdtPr>
        <w:rPr>
          <w:rFonts w:ascii="Arial" w:eastAsia="Times New Roman" w:hAnsi="Arial" w:cs="Arial"/>
          <w:sz w:val="20"/>
          <w:szCs w:val="20"/>
        </w:rPr>
        <w:id w:val="-1976432569"/>
      </w:sdtPr>
      <w:sdtEndPr/>
      <w:sdtContent>
        <w:p w14:paraId="7421AA70"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1D7F689" w14:textId="77777777" w:rsidR="003B183F" w:rsidRDefault="003B183F" w:rsidP="00292103"/>
    <w:p w14:paraId="5966C287" w14:textId="41450FD7" w:rsidR="00292103" w:rsidRDefault="00292103" w:rsidP="00292103">
      <w:r>
        <w:t>Q</w:t>
      </w:r>
      <w:r w:rsidR="005F25CB">
        <w:t>40</w:t>
      </w:r>
      <w:r>
        <w:t xml:space="preserve">   Do you agree with the proposed factors for certificates of deposit and undrawn committed lines? If not, please explain and provide your suggestions.</w:t>
      </w:r>
    </w:p>
    <w:sdt>
      <w:sdtPr>
        <w:rPr>
          <w:rFonts w:ascii="Arial" w:eastAsia="Times New Roman" w:hAnsi="Arial" w:cs="Arial"/>
          <w:sz w:val="20"/>
          <w:szCs w:val="20"/>
        </w:rPr>
        <w:id w:val="186877770"/>
      </w:sdtPr>
      <w:sdtEndPr/>
      <w:sdtContent>
        <w:p w14:paraId="39A074C7"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66DE9F4A" w14:textId="77777777" w:rsidR="003B183F" w:rsidRDefault="003B183F" w:rsidP="00292103"/>
    <w:p w14:paraId="564193AD" w14:textId="18DA98A6" w:rsidR="00292103" w:rsidRDefault="00292103" w:rsidP="00292103">
      <w:r>
        <w:t>Q4</w:t>
      </w:r>
      <w:r w:rsidR="005F25CB">
        <w:t>1</w:t>
      </w:r>
      <w:r>
        <w:t xml:space="preserve">   Do you agree with the proposed factors differentiation between 3-month and 1-year time horizons? If not, please explain and provide your suggestions.</w:t>
      </w:r>
    </w:p>
    <w:sdt>
      <w:sdtPr>
        <w:rPr>
          <w:rFonts w:ascii="Arial" w:eastAsia="Times New Roman" w:hAnsi="Arial" w:cs="Arial"/>
          <w:sz w:val="20"/>
          <w:szCs w:val="20"/>
        </w:rPr>
        <w:id w:val="1365258681"/>
      </w:sdtPr>
      <w:sdtEndPr/>
      <w:sdtContent>
        <w:p w14:paraId="68A72E06"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D89C0A6" w14:textId="77777777" w:rsidR="003B183F" w:rsidRDefault="003B183F" w:rsidP="00292103"/>
    <w:p w14:paraId="2CCB3D7F" w14:textId="5900EEE3" w:rsidR="00292103" w:rsidRDefault="00292103" w:rsidP="00292103">
      <w:r>
        <w:t>Q4</w:t>
      </w:r>
      <w:r w:rsidR="005F25CB">
        <w:t>2</w:t>
      </w:r>
      <w:r>
        <w:t xml:space="preserve">   Do you think any additional relevant liquidity source should be considered in the ILR calculation? If yes, please explain and provide your suggestions.</w:t>
      </w:r>
    </w:p>
    <w:sdt>
      <w:sdtPr>
        <w:rPr>
          <w:rFonts w:ascii="Arial" w:eastAsia="Times New Roman" w:hAnsi="Arial" w:cs="Arial"/>
          <w:sz w:val="20"/>
          <w:szCs w:val="20"/>
        </w:rPr>
        <w:id w:val="1970005506"/>
      </w:sdtPr>
      <w:sdtEndPr/>
      <w:sdtContent>
        <w:p w14:paraId="213FFCC2"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5B8B9A0" w14:textId="77777777" w:rsidR="003B183F" w:rsidRDefault="003B183F" w:rsidP="00292103"/>
    <w:p w14:paraId="0C030F53" w14:textId="1701FDCA" w:rsidR="00292103" w:rsidRDefault="00292103" w:rsidP="00292103">
      <w:r>
        <w:t>Q4</w:t>
      </w:r>
      <w:r w:rsidR="005F25CB">
        <w:t>3</w:t>
      </w:r>
      <w:r>
        <w:t xml:space="preserve">   Do you prefer to conduct a detailed recalibration of factors for surrender values based on historical surrender rates of participating insurers? Such a recalibration would be a substantial reporting burden. </w:t>
      </w:r>
    </w:p>
    <w:sdt>
      <w:sdtPr>
        <w:rPr>
          <w:rFonts w:ascii="Arial" w:eastAsia="Times New Roman" w:hAnsi="Arial" w:cs="Arial"/>
          <w:sz w:val="20"/>
          <w:szCs w:val="20"/>
        </w:rPr>
        <w:id w:val="2116327900"/>
      </w:sdtPr>
      <w:sdtEndPr/>
      <w:sdtContent>
        <w:p w14:paraId="71B469D1"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793E05A" w14:textId="77777777" w:rsidR="003B183F" w:rsidRDefault="003B183F" w:rsidP="00292103"/>
    <w:p w14:paraId="6C6FA2FD" w14:textId="29484030" w:rsidR="00292103" w:rsidRDefault="00292103" w:rsidP="00292103">
      <w:r>
        <w:t>Q4</w:t>
      </w:r>
      <w:r w:rsidR="005F25CB">
        <w:t>4</w:t>
      </w:r>
      <w:r>
        <w:t xml:space="preserve">   Do you agree with the proposed 3-month time horizon factors? If not, provide your explanation and suggestions. </w:t>
      </w:r>
    </w:p>
    <w:sdt>
      <w:sdtPr>
        <w:rPr>
          <w:rFonts w:ascii="Arial" w:eastAsia="Times New Roman" w:hAnsi="Arial" w:cs="Arial"/>
          <w:sz w:val="20"/>
          <w:szCs w:val="20"/>
        </w:rPr>
        <w:id w:val="-1620992315"/>
      </w:sdtPr>
      <w:sdtEndPr/>
      <w:sdtContent>
        <w:p w14:paraId="29D41768"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9453937" w14:textId="77777777" w:rsidR="003B183F" w:rsidRDefault="003B183F" w:rsidP="00292103"/>
    <w:p w14:paraId="11CCBAD3" w14:textId="66B7911E" w:rsidR="00292103" w:rsidRDefault="00292103" w:rsidP="00292103">
      <w:r>
        <w:t>Q4</w:t>
      </w:r>
      <w:r w:rsidR="005F25CB">
        <w:t>5</w:t>
      </w:r>
      <w:r>
        <w:t xml:space="preserve">   Do you agree with the proposed factors for non-life claims and expenses? If not, please explain and provide your suggestions.</w:t>
      </w:r>
    </w:p>
    <w:sdt>
      <w:sdtPr>
        <w:rPr>
          <w:rFonts w:ascii="Arial" w:eastAsia="Times New Roman" w:hAnsi="Arial" w:cs="Arial"/>
          <w:sz w:val="20"/>
          <w:szCs w:val="20"/>
        </w:rPr>
        <w:id w:val="1322161925"/>
      </w:sdtPr>
      <w:sdtEndPr/>
      <w:sdtContent>
        <w:p w14:paraId="7F8085C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A248DFA" w14:textId="77777777" w:rsidR="003B183F" w:rsidRDefault="003B183F" w:rsidP="00292103"/>
    <w:p w14:paraId="7627EE51" w14:textId="60D33CE3" w:rsidR="00292103" w:rsidRDefault="00292103" w:rsidP="00292103">
      <w:r>
        <w:lastRenderedPageBreak/>
        <w:t>Q4</w:t>
      </w:r>
      <w:r w:rsidR="005F25CB">
        <w:t>6</w:t>
      </w:r>
      <w:r>
        <w:t xml:space="preserve">   Do you agree that life premiums, claims and expenses are currently not included in the ILR? If not, please provide clarification.</w:t>
      </w:r>
    </w:p>
    <w:sdt>
      <w:sdtPr>
        <w:rPr>
          <w:rFonts w:ascii="Arial" w:eastAsia="Times New Roman" w:hAnsi="Arial" w:cs="Arial"/>
          <w:sz w:val="20"/>
          <w:szCs w:val="20"/>
        </w:rPr>
        <w:id w:val="-790356338"/>
      </w:sdtPr>
      <w:sdtEndPr/>
      <w:sdtContent>
        <w:p w14:paraId="4612C3DF"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6593C7E" w14:textId="77777777" w:rsidR="003B183F" w:rsidRDefault="003B183F" w:rsidP="00292103"/>
    <w:p w14:paraId="74EE8612" w14:textId="312A369E" w:rsidR="00292103" w:rsidRDefault="00292103" w:rsidP="00292103">
      <w:r>
        <w:t>Q4</w:t>
      </w:r>
      <w:r w:rsidR="005F25CB">
        <w:t>7</w:t>
      </w:r>
      <w:r>
        <w:t xml:space="preserve">   Do you agree with the proposed factors for reserving risk? If not, please explain and provide your suggestions.</w:t>
      </w:r>
    </w:p>
    <w:sdt>
      <w:sdtPr>
        <w:rPr>
          <w:rFonts w:ascii="Arial" w:eastAsia="Times New Roman" w:hAnsi="Arial" w:cs="Arial"/>
          <w:sz w:val="20"/>
          <w:szCs w:val="20"/>
        </w:rPr>
        <w:id w:val="-1668541621"/>
      </w:sdtPr>
      <w:sdtEndPr/>
      <w:sdtContent>
        <w:p w14:paraId="33F07FC5"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9C178DE" w14:textId="77777777" w:rsidR="003B183F" w:rsidRDefault="003B183F" w:rsidP="00292103"/>
    <w:p w14:paraId="7D9A4910" w14:textId="6D48764B" w:rsidR="00292103" w:rsidRDefault="00292103" w:rsidP="00292103">
      <w:r>
        <w:t>Q4</w:t>
      </w:r>
      <w:r w:rsidR="005F25CB">
        <w:t>8</w:t>
      </w:r>
      <w:r>
        <w:t xml:space="preserve">   Do you agree with the proposed factors for unearned premiums? If not, please explain and provide your suggestions.</w:t>
      </w:r>
    </w:p>
    <w:sdt>
      <w:sdtPr>
        <w:rPr>
          <w:rFonts w:ascii="Arial" w:eastAsia="Times New Roman" w:hAnsi="Arial" w:cs="Arial"/>
          <w:sz w:val="20"/>
          <w:szCs w:val="20"/>
        </w:rPr>
        <w:id w:val="1428537926"/>
      </w:sdtPr>
      <w:sdtEndPr/>
      <w:sdtContent>
        <w:p w14:paraId="32D73846"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EA567FA" w14:textId="77777777" w:rsidR="003B183F" w:rsidRDefault="003B183F" w:rsidP="00292103"/>
    <w:p w14:paraId="22F1D3A4" w14:textId="5F9BA386" w:rsidR="00292103" w:rsidRDefault="00292103" w:rsidP="00292103">
      <w:r>
        <w:t>Q4</w:t>
      </w:r>
      <w:r w:rsidR="005F25CB">
        <w:t>9</w:t>
      </w:r>
      <w:r>
        <w:t xml:space="preserve">   Do you agree with the proposed approach for reinsurance recoveries? If not, please explain and provide your suggestions.</w:t>
      </w:r>
    </w:p>
    <w:sdt>
      <w:sdtPr>
        <w:rPr>
          <w:rFonts w:ascii="Arial" w:eastAsia="Times New Roman" w:hAnsi="Arial" w:cs="Arial"/>
          <w:sz w:val="20"/>
          <w:szCs w:val="20"/>
        </w:rPr>
        <w:id w:val="105470186"/>
      </w:sdtPr>
      <w:sdtEndPr/>
      <w:sdtContent>
        <w:p w14:paraId="354D333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7794A4E" w14:textId="77777777" w:rsidR="003B183F" w:rsidRDefault="003B183F" w:rsidP="00292103"/>
    <w:p w14:paraId="3250F28D" w14:textId="7E12B650" w:rsidR="00292103" w:rsidRDefault="00292103" w:rsidP="00292103">
      <w:r>
        <w:t>Q</w:t>
      </w:r>
      <w:r w:rsidR="005F25CB">
        <w:t>50</w:t>
      </w:r>
      <w:r>
        <w:t xml:space="preserve">   Do you agree with the refined factors for catastrophe claim payments? If not, please explain and provide your suggestions.</w:t>
      </w:r>
    </w:p>
    <w:sdt>
      <w:sdtPr>
        <w:rPr>
          <w:rFonts w:ascii="Arial" w:eastAsia="Times New Roman" w:hAnsi="Arial" w:cs="Arial"/>
          <w:sz w:val="20"/>
          <w:szCs w:val="20"/>
        </w:rPr>
        <w:id w:val="1777366927"/>
      </w:sdtPr>
      <w:sdtEndPr/>
      <w:sdtContent>
        <w:p w14:paraId="7AA64073"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B8AC01B" w14:textId="77777777" w:rsidR="003B183F" w:rsidRDefault="003B183F" w:rsidP="00292103"/>
    <w:p w14:paraId="6675D8FF" w14:textId="3CD3EA77" w:rsidR="00292103" w:rsidRDefault="00292103" w:rsidP="00292103">
      <w:r>
        <w:t>Q5</w:t>
      </w:r>
      <w:r w:rsidR="005F25CB">
        <w:t>1</w:t>
      </w:r>
      <w:r>
        <w:t xml:space="preserve">   Do you prefer a standardized 1/250 PML scenario to be applied for catastrophe claim payments? If yes, provide your suggestions for such a scenario. The current proposal counts with 1/250 PML scenario calculated using insurers’ own projections and stress-testing.</w:t>
      </w:r>
    </w:p>
    <w:sdt>
      <w:sdtPr>
        <w:rPr>
          <w:rFonts w:ascii="Arial" w:eastAsia="Times New Roman" w:hAnsi="Arial" w:cs="Arial"/>
          <w:sz w:val="20"/>
          <w:szCs w:val="20"/>
        </w:rPr>
        <w:id w:val="-1778015451"/>
      </w:sdtPr>
      <w:sdtEndPr/>
      <w:sdtContent>
        <w:p w14:paraId="18D4EFB0"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A8CEA3E" w14:textId="77777777" w:rsidR="003B183F" w:rsidRDefault="003B183F" w:rsidP="00292103"/>
    <w:p w14:paraId="52129D4E" w14:textId="5064E4ED" w:rsidR="00292103" w:rsidRDefault="00292103" w:rsidP="00292103">
      <w:r>
        <w:t>Q5</w:t>
      </w:r>
      <w:r w:rsidR="005F25CB">
        <w:t>2</w:t>
      </w:r>
      <w:r>
        <w:t xml:space="preserve">   Do you agree with the IAIS proposal to consider DGS in the ILR factors for bank deposits? Please provide your comments and suggestions. </w:t>
      </w:r>
    </w:p>
    <w:sdt>
      <w:sdtPr>
        <w:rPr>
          <w:rFonts w:ascii="Arial" w:eastAsia="Times New Roman" w:hAnsi="Arial" w:cs="Arial"/>
          <w:sz w:val="20"/>
          <w:szCs w:val="20"/>
        </w:rPr>
        <w:id w:val="2126345352"/>
      </w:sdtPr>
      <w:sdtEndPr/>
      <w:sdtContent>
        <w:p w14:paraId="6AB9D476"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8228541" w14:textId="77777777" w:rsidR="003B183F" w:rsidRDefault="003B183F" w:rsidP="00292103"/>
    <w:p w14:paraId="2F299E0A" w14:textId="5FDC8437" w:rsidR="00292103" w:rsidRDefault="00292103" w:rsidP="00292103">
      <w:r>
        <w:t>Q5</w:t>
      </w:r>
      <w:r w:rsidR="005F25CB">
        <w:t>3</w:t>
      </w:r>
      <w:r>
        <w:t xml:space="preserve">   Do you agree with the 3-month time horizon ILR factors for bank deposits? If not, provide your comments and suggestions. </w:t>
      </w:r>
    </w:p>
    <w:sdt>
      <w:sdtPr>
        <w:rPr>
          <w:rFonts w:ascii="Arial" w:eastAsia="Times New Roman" w:hAnsi="Arial" w:cs="Arial"/>
          <w:sz w:val="20"/>
          <w:szCs w:val="20"/>
        </w:rPr>
        <w:id w:val="146491903"/>
      </w:sdtPr>
      <w:sdtEndPr/>
      <w:sdtContent>
        <w:p w14:paraId="7F5D959A"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49507EE" w14:textId="77777777" w:rsidR="003B183F" w:rsidRDefault="003B183F" w:rsidP="00292103"/>
    <w:p w14:paraId="6AA0C444" w14:textId="2E4C0D9A" w:rsidR="00292103" w:rsidRDefault="00292103" w:rsidP="00292103">
      <w:r>
        <w:t>Q5</w:t>
      </w:r>
      <w:r w:rsidR="005F25CB">
        <w:t>4</w:t>
      </w:r>
      <w:r>
        <w:t xml:space="preserve">   Do you agree that there is currently no liquidity </w:t>
      </w:r>
      <w:r w:rsidR="008263C9">
        <w:t xml:space="preserve">need </w:t>
      </w:r>
      <w:r>
        <w:t>considered for the non-financial type of business that some insurance groups may conduct? If not, please provide your suggestions.</w:t>
      </w:r>
    </w:p>
    <w:sdt>
      <w:sdtPr>
        <w:rPr>
          <w:rFonts w:ascii="Arial" w:eastAsia="Times New Roman" w:hAnsi="Arial" w:cs="Arial"/>
          <w:sz w:val="20"/>
          <w:szCs w:val="20"/>
        </w:rPr>
        <w:id w:val="1304508197"/>
      </w:sdtPr>
      <w:sdtEndPr/>
      <w:sdtContent>
        <w:p w14:paraId="6861B98B"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5004841" w14:textId="77777777" w:rsidR="003B183F" w:rsidRDefault="003B183F" w:rsidP="00292103"/>
    <w:p w14:paraId="34964E5A" w14:textId="3A026D94" w:rsidR="00292103" w:rsidRDefault="00292103" w:rsidP="00292103">
      <w:r>
        <w:lastRenderedPageBreak/>
        <w:t>Q5</w:t>
      </w:r>
      <w:r w:rsidR="005F25CB">
        <w:t>5</w:t>
      </w:r>
      <w:r>
        <w:t xml:space="preserve">   Do you agree with the inclusion of derivative assets into the ILR Liquidity Sources? If not, please explain and provide your clarification. If yes, provide your suggestions on factors for such derivative assets.</w:t>
      </w:r>
    </w:p>
    <w:sdt>
      <w:sdtPr>
        <w:rPr>
          <w:rFonts w:ascii="Arial" w:eastAsia="Times New Roman" w:hAnsi="Arial" w:cs="Arial"/>
          <w:sz w:val="20"/>
          <w:szCs w:val="20"/>
        </w:rPr>
        <w:id w:val="898092194"/>
      </w:sdtPr>
      <w:sdtEndPr/>
      <w:sdtContent>
        <w:p w14:paraId="5C60C90E"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9C5F7E4" w14:textId="77777777" w:rsidR="003B183F" w:rsidRDefault="003B183F" w:rsidP="00292103"/>
    <w:p w14:paraId="0548B0E2" w14:textId="51EC5BA1" w:rsidR="00292103" w:rsidRDefault="00292103" w:rsidP="00292103">
      <w:r>
        <w:t>Q5</w:t>
      </w:r>
      <w:r w:rsidR="005F25CB">
        <w:t>5</w:t>
      </w:r>
      <w:r>
        <w:t xml:space="preserve">   Do you agree with the current IAIS proposal to include only cash collateral into the Eligible Cash Variation Margin? If not, provide your comments and suggestions.</w:t>
      </w:r>
    </w:p>
    <w:sdt>
      <w:sdtPr>
        <w:rPr>
          <w:rFonts w:ascii="Arial" w:eastAsia="Times New Roman" w:hAnsi="Arial" w:cs="Arial"/>
          <w:sz w:val="20"/>
          <w:szCs w:val="20"/>
        </w:rPr>
        <w:id w:val="-575514589"/>
      </w:sdtPr>
      <w:sdtEndPr/>
      <w:sdtContent>
        <w:p w14:paraId="426F0822"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54262EA" w14:textId="77777777" w:rsidR="003B183F" w:rsidRDefault="003B183F" w:rsidP="00292103"/>
    <w:p w14:paraId="50B68DF1" w14:textId="2B528E18" w:rsidR="00292103" w:rsidRDefault="00292103" w:rsidP="00292103">
      <w:r>
        <w:t>Q5</w:t>
      </w:r>
      <w:r w:rsidR="005F25CB">
        <w:t>7</w:t>
      </w:r>
      <w:r>
        <w:t xml:space="preserve">   Do you agree with the 3-month time horizon ILR treatment of and factors for derivatives? If not, provide your comments and suggestions. </w:t>
      </w:r>
    </w:p>
    <w:sdt>
      <w:sdtPr>
        <w:rPr>
          <w:rFonts w:ascii="Arial" w:eastAsia="Times New Roman" w:hAnsi="Arial" w:cs="Arial"/>
          <w:sz w:val="20"/>
          <w:szCs w:val="20"/>
        </w:rPr>
        <w:id w:val="439803963"/>
      </w:sdtPr>
      <w:sdtEndPr/>
      <w:sdtContent>
        <w:p w14:paraId="58A2DC10"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4BD38829" w14:textId="77777777" w:rsidR="003B183F" w:rsidRDefault="003B183F" w:rsidP="00292103"/>
    <w:p w14:paraId="0670271A" w14:textId="4833B8B1" w:rsidR="00292103" w:rsidRDefault="00292103" w:rsidP="00292103">
      <w:r>
        <w:t>Q5</w:t>
      </w:r>
      <w:r w:rsidR="005F25CB">
        <w:t>8</w:t>
      </w:r>
      <w:r>
        <w:t xml:space="preserve">   Do you agree with the floor as proposed by the IAIS to protect a level-playing field for all insurers? If not, provide your comments and suggestions. </w:t>
      </w:r>
    </w:p>
    <w:sdt>
      <w:sdtPr>
        <w:rPr>
          <w:rFonts w:ascii="Arial" w:eastAsia="Times New Roman" w:hAnsi="Arial" w:cs="Arial"/>
          <w:sz w:val="20"/>
          <w:szCs w:val="20"/>
        </w:rPr>
        <w:id w:val="-1294900402"/>
      </w:sdtPr>
      <w:sdtEndPr/>
      <w:sdtContent>
        <w:p w14:paraId="791DADFE"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280FCA4" w14:textId="77777777" w:rsidR="003B183F" w:rsidRDefault="003B183F" w:rsidP="00292103"/>
    <w:p w14:paraId="1798CE0A" w14:textId="790AC3A0" w:rsidR="00292103" w:rsidRDefault="00292103" w:rsidP="00292103">
      <w:r>
        <w:t>Q5</w:t>
      </w:r>
      <w:r w:rsidR="005F25CB">
        <w:t>9</w:t>
      </w:r>
      <w:r>
        <w:t xml:space="preserve">   Do you agree with the proposed approach to securities lending transactions and repurchase agreements including the factors? If not, provide your comments and suggestions.</w:t>
      </w:r>
    </w:p>
    <w:sdt>
      <w:sdtPr>
        <w:rPr>
          <w:rFonts w:ascii="Arial" w:eastAsia="Times New Roman" w:hAnsi="Arial" w:cs="Arial"/>
          <w:sz w:val="20"/>
          <w:szCs w:val="20"/>
        </w:rPr>
        <w:id w:val="2012950083"/>
      </w:sdtPr>
      <w:sdtEndPr/>
      <w:sdtContent>
        <w:p w14:paraId="016C75C4"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3984F027" w14:textId="77777777" w:rsidR="003B183F" w:rsidRDefault="003B183F" w:rsidP="00292103"/>
    <w:p w14:paraId="5C2514F2" w14:textId="233AD4B9" w:rsidR="00292103" w:rsidRDefault="00292103" w:rsidP="00292103">
      <w:r>
        <w:t>Q</w:t>
      </w:r>
      <w:r w:rsidR="005F25CB">
        <w:t>60</w:t>
      </w:r>
      <w:r>
        <w:t xml:space="preserve">   Do you agree with the 3-month time horizon ILR factors for other funding liabilities and potential liquidity needs? If not, provide your comments and suggestions. </w:t>
      </w:r>
    </w:p>
    <w:sdt>
      <w:sdtPr>
        <w:rPr>
          <w:rFonts w:ascii="Arial" w:eastAsia="Times New Roman" w:hAnsi="Arial" w:cs="Arial"/>
          <w:sz w:val="20"/>
          <w:szCs w:val="20"/>
        </w:rPr>
        <w:id w:val="-1184668262"/>
      </w:sdtPr>
      <w:sdtEndPr/>
      <w:sdtContent>
        <w:p w14:paraId="16963E42"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9689893" w14:textId="77777777" w:rsidR="003B183F" w:rsidRDefault="003B183F" w:rsidP="00292103"/>
    <w:p w14:paraId="15A1746A" w14:textId="3EC34207" w:rsidR="00292103" w:rsidRDefault="00292103" w:rsidP="00292103">
      <w:r>
        <w:t>Q6</w:t>
      </w:r>
      <w:r w:rsidR="005F25CB">
        <w:t>1</w:t>
      </w:r>
      <w:r>
        <w:t xml:space="preserve">   Do you agree with the proposed factors for operational and cyber risk? If not, please explain and suggest an alternative treatment. </w:t>
      </w:r>
    </w:p>
    <w:sdt>
      <w:sdtPr>
        <w:rPr>
          <w:rFonts w:ascii="Arial" w:eastAsia="Times New Roman" w:hAnsi="Arial" w:cs="Arial"/>
          <w:sz w:val="20"/>
          <w:szCs w:val="20"/>
        </w:rPr>
        <w:id w:val="-814022545"/>
      </w:sdtPr>
      <w:sdtEndPr/>
      <w:sdtContent>
        <w:p w14:paraId="755D58F7"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7B0E1EBC" w14:textId="77777777" w:rsidR="003B183F" w:rsidRDefault="003B183F" w:rsidP="00292103"/>
    <w:p w14:paraId="6DFBBA95" w14:textId="2C913E8F" w:rsidR="00292103" w:rsidRDefault="00292103" w:rsidP="00292103">
      <w:r>
        <w:t>Q6</w:t>
      </w:r>
      <w:r w:rsidR="005F25CB">
        <w:t>2</w:t>
      </w:r>
      <w:r>
        <w:t xml:space="preserve">   Did the IAIS omit any other material type of insurance, non-insurance or operational liquidity needs that should be considered in the ILR calculation? If yes, provide your suggestions.</w:t>
      </w:r>
    </w:p>
    <w:sdt>
      <w:sdtPr>
        <w:rPr>
          <w:rFonts w:ascii="Arial" w:eastAsia="Times New Roman" w:hAnsi="Arial" w:cs="Arial"/>
          <w:sz w:val="20"/>
          <w:szCs w:val="20"/>
        </w:rPr>
        <w:id w:val="1713145575"/>
      </w:sdtPr>
      <w:sdtEndPr/>
      <w:sdtContent>
        <w:p w14:paraId="52BCC8C7"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560C5B0F" w14:textId="77777777" w:rsidR="003B183F" w:rsidRDefault="003B183F" w:rsidP="00292103"/>
    <w:p w14:paraId="6D31C92F" w14:textId="066EC1C7" w:rsidR="00292103" w:rsidRDefault="00292103" w:rsidP="00292103">
      <w:r>
        <w:t>Q6</w:t>
      </w:r>
      <w:r w:rsidR="005F25CB">
        <w:t>3</w:t>
      </w:r>
      <w:r>
        <w:t xml:space="preserve">   Do you agree with the description of aspects of other liquidity metrics provided in Section 4? </w:t>
      </w:r>
    </w:p>
    <w:sdt>
      <w:sdtPr>
        <w:rPr>
          <w:rFonts w:ascii="Arial" w:eastAsia="Times New Roman" w:hAnsi="Arial" w:cs="Arial"/>
          <w:sz w:val="20"/>
          <w:szCs w:val="20"/>
        </w:rPr>
        <w:id w:val="-638809432"/>
      </w:sdtPr>
      <w:sdtEndPr/>
      <w:sdtContent>
        <w:p w14:paraId="5FED1577" w14:textId="77777777" w:rsidR="003B183F" w:rsidRDefault="003B183F" w:rsidP="003B183F">
          <w:pPr>
            <w:spacing w:after="0" w:line="240" w:lineRule="auto"/>
            <w:rPr>
              <w:rFonts w:ascii="Arial" w:eastAsia="Times New Roman" w:hAnsi="Arial" w:cs="Arial"/>
              <w:sz w:val="20"/>
              <w:szCs w:val="20"/>
            </w:rPr>
          </w:pPr>
          <w:r w:rsidRPr="005F25CB">
            <w:rPr>
              <w:rFonts w:ascii="Arial" w:eastAsia="Times New Roman" w:hAnsi="Arial" w:cs="Arial"/>
              <w:color w:val="808080"/>
              <w:sz w:val="20"/>
              <w:szCs w:val="20"/>
            </w:rPr>
            <w:t>Comment Box</w:t>
          </w:r>
        </w:p>
      </w:sdtContent>
    </w:sdt>
    <w:p w14:paraId="28D776D4" w14:textId="77777777" w:rsidR="003B183F" w:rsidRDefault="003B183F" w:rsidP="00292103"/>
    <w:p w14:paraId="29FFEF03" w14:textId="181B24C5" w:rsidR="00292103" w:rsidRDefault="00292103" w:rsidP="00292103">
      <w:r>
        <w:lastRenderedPageBreak/>
        <w:t>Q6</w:t>
      </w:r>
      <w:r w:rsidR="005F25CB">
        <w:t>4</w:t>
      </w:r>
      <w:r>
        <w:t xml:space="preserve">   Do you want to propose any other liquidity metric for liquidity risk monitoring that is not mentioned in sections 2, 3 and 4 of this document? If yes, please elaborate on its calculation and data requirements.</w:t>
      </w:r>
    </w:p>
    <w:sdt>
      <w:sdtPr>
        <w:rPr>
          <w:rFonts w:ascii="Arial" w:eastAsia="Times New Roman" w:hAnsi="Arial" w:cs="Arial"/>
          <w:sz w:val="20"/>
          <w:szCs w:val="20"/>
        </w:rPr>
        <w:id w:val="73412431"/>
      </w:sdtPr>
      <w:sdtEndPr/>
      <w:sdtContent>
        <w:p w14:paraId="1C4A4B49"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1767BFA9" w14:textId="77777777" w:rsidR="003B183F" w:rsidRDefault="003B183F" w:rsidP="00292103"/>
    <w:p w14:paraId="5A80FEF6" w14:textId="11F202D5" w:rsidR="00292103" w:rsidRDefault="00292103" w:rsidP="00292103">
      <w:r>
        <w:t>Q6</w:t>
      </w:r>
      <w:r w:rsidR="005F25CB">
        <w:t>5</w:t>
      </w:r>
      <w:r>
        <w:t xml:space="preserve">   Do you prefer a set of liquidity metrics for liquidity risk monitoring purposes? If not, provide clarification.</w:t>
      </w:r>
    </w:p>
    <w:sdt>
      <w:sdtPr>
        <w:rPr>
          <w:rFonts w:ascii="Arial" w:eastAsia="Times New Roman" w:hAnsi="Arial" w:cs="Arial"/>
          <w:sz w:val="20"/>
          <w:szCs w:val="20"/>
        </w:rPr>
        <w:id w:val="707298482"/>
      </w:sdtPr>
      <w:sdtEndPr/>
      <w:sdtContent>
        <w:p w14:paraId="763AD554" w14:textId="77777777" w:rsidR="003B183F" w:rsidRDefault="003B183F" w:rsidP="003B183F">
          <w:pPr>
            <w:spacing w:after="0" w:line="240" w:lineRule="auto"/>
            <w:rPr>
              <w:rFonts w:ascii="Arial" w:eastAsia="Times New Roman" w:hAnsi="Arial" w:cs="Arial"/>
              <w:sz w:val="20"/>
              <w:szCs w:val="20"/>
            </w:rPr>
          </w:pPr>
          <w:r w:rsidRPr="005B44A2">
            <w:rPr>
              <w:rFonts w:ascii="Arial" w:eastAsia="Times New Roman" w:hAnsi="Arial" w:cs="Arial"/>
              <w:color w:val="808080"/>
              <w:sz w:val="20"/>
              <w:szCs w:val="20"/>
            </w:rPr>
            <w:t>Comment Box</w:t>
          </w:r>
        </w:p>
      </w:sdtContent>
    </w:sdt>
    <w:p w14:paraId="2758CF44" w14:textId="77777777" w:rsidR="003B183F" w:rsidRDefault="003B183F" w:rsidP="00292103"/>
    <w:p w14:paraId="10120621" w14:textId="5D2BDA82" w:rsidR="00722718" w:rsidRDefault="00292103" w:rsidP="00292103">
      <w:r>
        <w:t>Q6</w:t>
      </w:r>
      <w:r w:rsidR="005F25CB">
        <w:t>6</w:t>
      </w:r>
      <w:r>
        <w:t xml:space="preserve">   Do you prefer a single liquidity metric (</w:t>
      </w:r>
      <w:proofErr w:type="spellStart"/>
      <w:r>
        <w:t>eg.</w:t>
      </w:r>
      <w:proofErr w:type="spellEnd"/>
      <w:r>
        <w:t xml:space="preserve"> ILR or CPA metrics) for liquidity risk monitoring purposes? If not, provide clarification.</w:t>
      </w:r>
    </w:p>
    <w:sdt>
      <w:sdtPr>
        <w:rPr>
          <w:rFonts w:ascii="Arial" w:eastAsia="Times New Roman" w:hAnsi="Arial" w:cs="Arial"/>
          <w:sz w:val="20"/>
          <w:szCs w:val="20"/>
        </w:rPr>
        <w:id w:val="1692789702"/>
      </w:sdtPr>
      <w:sdtEndPr/>
      <w:sdtContent>
        <w:p w14:paraId="35BD6BC0" w14:textId="77777777" w:rsidR="003B183F" w:rsidRDefault="003B183F" w:rsidP="003B183F">
          <w:pPr>
            <w:spacing w:after="0" w:line="240" w:lineRule="auto"/>
            <w:rPr>
              <w:rFonts w:ascii="Arial" w:eastAsia="Times New Roman" w:hAnsi="Arial" w:cs="Arial"/>
              <w:sz w:val="20"/>
              <w:szCs w:val="20"/>
            </w:rPr>
          </w:pPr>
          <w:r w:rsidRPr="00864F95">
            <w:rPr>
              <w:rFonts w:ascii="Arial" w:eastAsia="Times New Roman" w:hAnsi="Arial" w:cs="Arial"/>
              <w:color w:val="808080"/>
              <w:sz w:val="20"/>
              <w:szCs w:val="20"/>
            </w:rPr>
            <w:t>Comment Box</w:t>
          </w:r>
        </w:p>
      </w:sdtContent>
    </w:sdt>
    <w:p w14:paraId="177D0698" w14:textId="67E27BD6" w:rsidR="003B183F" w:rsidRDefault="003B183F" w:rsidP="00292103"/>
    <w:p w14:paraId="36CB4B34" w14:textId="576888C8" w:rsidR="00BC5B5C" w:rsidRDefault="00BC5B5C" w:rsidP="00BC5B5C">
      <w:r>
        <w:t xml:space="preserve">Q67   </w:t>
      </w:r>
      <w:r w:rsidR="00A72903" w:rsidRPr="00A72903">
        <w:t xml:space="preserve">General comments on the Public Consultation Document on the Development of Liquidity Metrics:  Phase </w:t>
      </w:r>
      <w:r w:rsidR="00A72903">
        <w:t>2</w:t>
      </w:r>
    </w:p>
    <w:sdt>
      <w:sdtPr>
        <w:rPr>
          <w:rFonts w:ascii="Arial" w:eastAsia="Times New Roman" w:hAnsi="Arial" w:cs="Arial"/>
          <w:sz w:val="20"/>
          <w:szCs w:val="20"/>
        </w:rPr>
        <w:id w:val="1793401823"/>
      </w:sdtPr>
      <w:sdtEndPr/>
      <w:sdtContent>
        <w:p w14:paraId="3010D532" w14:textId="77777777" w:rsidR="00BC5B5C" w:rsidRDefault="00BC5B5C" w:rsidP="00BC5B5C">
          <w:pPr>
            <w:spacing w:after="0" w:line="240" w:lineRule="auto"/>
            <w:rPr>
              <w:rFonts w:ascii="Arial" w:eastAsia="Times New Roman" w:hAnsi="Arial" w:cs="Arial"/>
              <w:sz w:val="20"/>
              <w:szCs w:val="20"/>
            </w:rPr>
          </w:pPr>
          <w:r w:rsidRPr="00A72903">
            <w:rPr>
              <w:rFonts w:ascii="Arial" w:eastAsia="Times New Roman" w:hAnsi="Arial" w:cs="Arial"/>
              <w:color w:val="808080"/>
              <w:sz w:val="20"/>
              <w:szCs w:val="20"/>
            </w:rPr>
            <w:t>Comment Box</w:t>
          </w:r>
        </w:p>
      </w:sdtContent>
    </w:sdt>
    <w:p w14:paraId="76B5BF25" w14:textId="77777777" w:rsidR="00BC5B5C" w:rsidRPr="00B80036" w:rsidRDefault="00BC5B5C" w:rsidP="00292103"/>
    <w:sectPr w:rsidR="00BC5B5C" w:rsidRPr="00B80036" w:rsidSect="00A5543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23D0" w14:textId="77777777" w:rsidR="007E1917" w:rsidRDefault="007E1917" w:rsidP="004309A5">
      <w:pPr>
        <w:spacing w:after="0" w:line="240" w:lineRule="auto"/>
      </w:pPr>
      <w:r>
        <w:separator/>
      </w:r>
    </w:p>
  </w:endnote>
  <w:endnote w:type="continuationSeparator" w:id="0">
    <w:p w14:paraId="35E3DE17" w14:textId="77777777" w:rsidR="007E1917" w:rsidRDefault="007E1917" w:rsidP="004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104" w:type="pct"/>
      <w:tblBorders>
        <w:left w:val="none" w:sz="0" w:space="0" w:color="auto"/>
        <w:bottom w:val="none" w:sz="0" w:space="0" w:color="auto"/>
        <w:right w:val="none" w:sz="0" w:space="0" w:color="auto"/>
      </w:tblBorders>
      <w:tblLook w:val="04A0" w:firstRow="1" w:lastRow="0" w:firstColumn="1" w:lastColumn="0" w:noHBand="0" w:noVBand="1"/>
    </w:tblPr>
    <w:tblGrid>
      <w:gridCol w:w="5986"/>
      <w:gridCol w:w="3228"/>
    </w:tblGrid>
    <w:tr w:rsidR="00835098" w14:paraId="76BDB2FC" w14:textId="77777777" w:rsidTr="00EA0774">
      <w:trPr>
        <w:cantSplit/>
        <w:trHeight w:val="240"/>
      </w:trPr>
      <w:tc>
        <w:tcPr>
          <w:tcW w:w="5970" w:type="dxa"/>
          <w:tcBorders>
            <w:bottom w:val="nil"/>
            <w:right w:val="nil"/>
          </w:tcBorders>
          <w:shd w:val="clear" w:color="auto" w:fill="auto"/>
          <w:noWrap/>
          <w:tcMar>
            <w:top w:w="120" w:type="dxa"/>
            <w:left w:w="0" w:type="dxa"/>
            <w:right w:w="0" w:type="dxa"/>
          </w:tcMar>
          <w:vAlign w:val="bottom"/>
        </w:tcPr>
        <w:p w14:paraId="2D7AA872" w14:textId="77777777" w:rsidR="001750BD" w:rsidRDefault="001750BD" w:rsidP="001750BD">
          <w:pPr>
            <w:pStyle w:val="Footer"/>
            <w:rPr>
              <w:rFonts w:cs="Arial"/>
            </w:rPr>
          </w:pPr>
          <w:r>
            <w:rPr>
              <w:rFonts w:cs="Arial"/>
            </w:rPr>
            <w:t>Public</w:t>
          </w:r>
        </w:p>
        <w:p w14:paraId="559CD9BB" w14:textId="4E7D885C" w:rsidR="00835098" w:rsidRPr="00A5543E" w:rsidRDefault="003C4DAA" w:rsidP="001750BD">
          <w:pPr>
            <w:pStyle w:val="Footer"/>
            <w:rPr>
              <w:rFonts w:cs="Arial"/>
            </w:rPr>
          </w:pPr>
          <w:r w:rsidRPr="003C4DAA">
            <w:rPr>
              <w:rFonts w:cs="Arial"/>
            </w:rPr>
            <w:t>Public Consultation on the De</w:t>
          </w:r>
          <w:r w:rsidR="007F4623">
            <w:rPr>
              <w:rFonts w:cs="Arial"/>
            </w:rPr>
            <w:t xml:space="preserve">velopment of Liquidity </w:t>
          </w:r>
          <w:r w:rsidR="00B35D9D" w:rsidRPr="00B35D9D">
            <w:rPr>
              <w:rFonts w:cs="Arial"/>
            </w:rPr>
            <w:t xml:space="preserve">Metrics:  Phase </w:t>
          </w:r>
          <w:r w:rsidR="00EA0774">
            <w:rPr>
              <w:rFonts w:cs="Arial"/>
            </w:rPr>
            <w:t>2</w:t>
          </w:r>
        </w:p>
      </w:tc>
      <w:tc>
        <w:tcPr>
          <w:tcW w:w="3244" w:type="dxa"/>
          <w:tcBorders>
            <w:left w:val="nil"/>
          </w:tcBorders>
          <w:shd w:val="clear" w:color="auto" w:fill="auto"/>
          <w:tcMar>
            <w:right w:w="0" w:type="dxa"/>
          </w:tcMar>
          <w:vAlign w:val="bottom"/>
        </w:tcPr>
        <w:p w14:paraId="7D59BD3C" w14:textId="77777777" w:rsidR="00835098" w:rsidRPr="00A5543E" w:rsidRDefault="00835098" w:rsidP="00A5543E">
          <w:pPr>
            <w:pStyle w:val="Footer"/>
            <w:jc w:val="right"/>
            <w:rPr>
              <w:rFonts w:ascii="Arial" w:hAnsi="Arial"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B35D9D">
            <w:rPr>
              <w:rFonts w:cs="Arial"/>
              <w:noProof/>
            </w:rPr>
            <w:t>3</w:t>
          </w:r>
          <w:r>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B35D9D">
            <w:rPr>
              <w:rFonts w:cs="Arial"/>
              <w:noProof/>
            </w:rPr>
            <w:t>3</w:t>
          </w:r>
          <w:r>
            <w:rPr>
              <w:rFonts w:cs="Arial"/>
            </w:rPr>
            <w:fldChar w:fldCharType="end"/>
          </w:r>
        </w:p>
      </w:tc>
    </w:tr>
  </w:tbl>
  <w:p w14:paraId="6688680D" w14:textId="77777777" w:rsidR="00835098" w:rsidRDefault="00835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104" w:type="pct"/>
      <w:tblBorders>
        <w:left w:val="none" w:sz="0" w:space="0" w:color="auto"/>
        <w:bottom w:val="none" w:sz="0" w:space="0" w:color="auto"/>
        <w:right w:val="none" w:sz="0" w:space="0" w:color="auto"/>
      </w:tblBorders>
      <w:tblLook w:val="04A0" w:firstRow="1" w:lastRow="0" w:firstColumn="1" w:lastColumn="0" w:noHBand="0" w:noVBand="1"/>
    </w:tblPr>
    <w:tblGrid>
      <w:gridCol w:w="5986"/>
      <w:gridCol w:w="3228"/>
    </w:tblGrid>
    <w:tr w:rsidR="00835098" w14:paraId="49CA76CA" w14:textId="77777777" w:rsidTr="00EA0774">
      <w:trPr>
        <w:cantSplit/>
        <w:trHeight w:val="240"/>
      </w:trPr>
      <w:tc>
        <w:tcPr>
          <w:tcW w:w="5970" w:type="dxa"/>
          <w:tcBorders>
            <w:bottom w:val="nil"/>
            <w:right w:val="nil"/>
          </w:tcBorders>
          <w:shd w:val="clear" w:color="auto" w:fill="auto"/>
          <w:noWrap/>
          <w:tcMar>
            <w:top w:w="120" w:type="dxa"/>
            <w:left w:w="0" w:type="dxa"/>
            <w:right w:w="0" w:type="dxa"/>
          </w:tcMar>
          <w:vAlign w:val="bottom"/>
        </w:tcPr>
        <w:p w14:paraId="5077AEC0" w14:textId="77777777" w:rsidR="00835098" w:rsidRDefault="00835098" w:rsidP="00A5543E">
          <w:pPr>
            <w:pStyle w:val="Footer"/>
            <w:rPr>
              <w:rFonts w:cs="Arial"/>
            </w:rPr>
          </w:pPr>
          <w:r>
            <w:rPr>
              <w:rFonts w:cs="Arial"/>
            </w:rPr>
            <w:t>Public</w:t>
          </w:r>
        </w:p>
        <w:p w14:paraId="1A77D1EC" w14:textId="61E732F9" w:rsidR="00835098" w:rsidRPr="00A5543E" w:rsidRDefault="003C4DAA" w:rsidP="001750BD">
          <w:pPr>
            <w:pStyle w:val="Footer"/>
            <w:rPr>
              <w:rFonts w:cs="Arial"/>
            </w:rPr>
          </w:pPr>
          <w:r w:rsidRPr="003C4DAA">
            <w:rPr>
              <w:rFonts w:cs="Arial"/>
            </w:rPr>
            <w:t>Public Consultation on the D</w:t>
          </w:r>
          <w:r w:rsidR="007F4623">
            <w:rPr>
              <w:rFonts w:cs="Arial"/>
            </w:rPr>
            <w:t xml:space="preserve">evelopment of Liquidity </w:t>
          </w:r>
          <w:r w:rsidR="00B35D9D" w:rsidRPr="00B35D9D">
            <w:rPr>
              <w:rFonts w:cs="Arial"/>
            </w:rPr>
            <w:t xml:space="preserve">Metrics:  Phase </w:t>
          </w:r>
          <w:r w:rsidR="00EA0774">
            <w:rPr>
              <w:rFonts w:cs="Arial"/>
            </w:rPr>
            <w:t>2</w:t>
          </w:r>
        </w:p>
      </w:tc>
      <w:tc>
        <w:tcPr>
          <w:tcW w:w="3244" w:type="dxa"/>
          <w:tcBorders>
            <w:left w:val="nil"/>
          </w:tcBorders>
          <w:shd w:val="clear" w:color="auto" w:fill="auto"/>
          <w:tcMar>
            <w:right w:w="0" w:type="dxa"/>
          </w:tcMar>
          <w:vAlign w:val="bottom"/>
        </w:tcPr>
        <w:p w14:paraId="01BCF9DE" w14:textId="77777777" w:rsidR="00835098" w:rsidRPr="00A5543E" w:rsidRDefault="00835098" w:rsidP="00A5543E">
          <w:pPr>
            <w:pStyle w:val="Footer"/>
            <w:jc w:val="right"/>
            <w:rPr>
              <w:rFonts w:ascii="Arial" w:hAnsi="Arial"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B35D9D">
            <w:rPr>
              <w:rFonts w:cs="Arial"/>
              <w:noProof/>
            </w:rPr>
            <w:t>1</w:t>
          </w:r>
          <w:r>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B35D9D">
            <w:rPr>
              <w:rFonts w:cs="Arial"/>
              <w:noProof/>
            </w:rPr>
            <w:t>3</w:t>
          </w:r>
          <w:r>
            <w:rPr>
              <w:rFonts w:cs="Arial"/>
            </w:rPr>
            <w:fldChar w:fldCharType="end"/>
          </w:r>
        </w:p>
      </w:tc>
    </w:tr>
  </w:tbl>
  <w:p w14:paraId="773C059D" w14:textId="77777777" w:rsidR="00835098" w:rsidRDefault="0083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1E7DE" w14:textId="77777777" w:rsidR="007E1917" w:rsidRDefault="007E1917" w:rsidP="004309A5">
      <w:pPr>
        <w:spacing w:after="0" w:line="240" w:lineRule="auto"/>
      </w:pPr>
      <w:r>
        <w:separator/>
      </w:r>
    </w:p>
  </w:footnote>
  <w:footnote w:type="continuationSeparator" w:id="0">
    <w:p w14:paraId="2EBF4738" w14:textId="77777777" w:rsidR="007E1917" w:rsidRDefault="007E1917" w:rsidP="0043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3437"/>
    </w:tblGrid>
    <w:tr w:rsidR="00835098" w14:paraId="7A6521DA" w14:textId="77777777" w:rsidTr="00A5543E">
      <w:trPr>
        <w:cantSplit/>
        <w:trHeight w:val="850"/>
      </w:trPr>
      <w:tc>
        <w:tcPr>
          <w:tcW w:w="3096" w:type="pct"/>
          <w:tcBorders>
            <w:bottom w:val="single" w:sz="4" w:space="0" w:color="auto"/>
          </w:tcBorders>
          <w:shd w:val="clear" w:color="auto" w:fill="auto"/>
          <w:tcMar>
            <w:left w:w="0" w:type="dxa"/>
            <w:bottom w:w="113" w:type="dxa"/>
          </w:tcMar>
        </w:tcPr>
        <w:p w14:paraId="4EAC5E58" w14:textId="77777777" w:rsidR="00835098" w:rsidRDefault="00835098" w:rsidP="00A5543E">
          <w:pPr>
            <w:pStyle w:val="Header"/>
          </w:pPr>
          <w:r>
            <w:rPr>
              <w:noProof/>
              <w:lang w:eastAsia="en-GB"/>
            </w:rPr>
            <w:drawing>
              <wp:inline distT="0" distB="0" distL="0" distR="0" wp14:anchorId="19FFA8BB" wp14:editId="7FF8CAB2">
                <wp:extent cx="1522988"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522988" cy="381000"/>
                        </a:xfrm>
                        <a:prstGeom prst="rect">
                          <a:avLst/>
                        </a:prstGeom>
                      </pic:spPr>
                    </pic:pic>
                  </a:graphicData>
                </a:graphic>
              </wp:inline>
            </w:drawing>
          </w:r>
        </w:p>
      </w:tc>
      <w:tc>
        <w:tcPr>
          <w:tcW w:w="1904" w:type="pct"/>
          <w:tcBorders>
            <w:bottom w:val="single" w:sz="4" w:space="0" w:color="auto"/>
          </w:tcBorders>
          <w:shd w:val="clear" w:color="auto" w:fill="auto"/>
          <w:noWrap/>
          <w:tcMar>
            <w:top w:w="142" w:type="dxa"/>
            <w:left w:w="0" w:type="dxa"/>
            <w:right w:w="0" w:type="dxa"/>
          </w:tcMar>
        </w:tcPr>
        <w:p w14:paraId="45AC3474" w14:textId="77777777" w:rsidR="00835098" w:rsidRPr="00A5543E" w:rsidRDefault="00835098" w:rsidP="00A5543E">
          <w:pPr>
            <w:pStyle w:val="Header"/>
            <w:jc w:val="right"/>
            <w:rPr>
              <w:rFonts w:ascii="Arial" w:hAnsi="Arial" w:cs="Arial"/>
              <w:b/>
              <w:sz w:val="20"/>
            </w:rPr>
          </w:pPr>
        </w:p>
      </w:tc>
    </w:tr>
  </w:tbl>
  <w:p w14:paraId="14D08EA0" w14:textId="77777777" w:rsidR="00835098" w:rsidRDefault="00835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2457"/>
    </w:tblGrid>
    <w:tr w:rsidR="00835098" w14:paraId="5D6A88AE" w14:textId="77777777" w:rsidTr="00A5543E">
      <w:trPr>
        <w:cantSplit/>
        <w:trHeight w:val="567"/>
      </w:trPr>
      <w:tc>
        <w:tcPr>
          <w:tcW w:w="3639" w:type="pct"/>
          <w:vMerge w:val="restart"/>
          <w:shd w:val="clear" w:color="auto" w:fill="auto"/>
          <w:tcMar>
            <w:left w:w="0" w:type="dxa"/>
          </w:tcMar>
        </w:tcPr>
        <w:p w14:paraId="7554E8CD" w14:textId="77777777" w:rsidR="00835098" w:rsidRDefault="00835098" w:rsidP="00A5543E">
          <w:pPr>
            <w:pStyle w:val="Header"/>
          </w:pPr>
          <w:r>
            <w:rPr>
              <w:noProof/>
              <w:lang w:eastAsia="en-GB"/>
            </w:rPr>
            <w:drawing>
              <wp:inline distT="0" distB="0" distL="0" distR="0" wp14:anchorId="06851AC9" wp14:editId="3B6137E8">
                <wp:extent cx="2999259"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99259" cy="1041400"/>
                        </a:xfrm>
                        <a:prstGeom prst="rect">
                          <a:avLst/>
                        </a:prstGeom>
                      </pic:spPr>
                    </pic:pic>
                  </a:graphicData>
                </a:graphic>
              </wp:inline>
            </w:drawing>
          </w:r>
        </w:p>
      </w:tc>
      <w:tc>
        <w:tcPr>
          <w:tcW w:w="1361" w:type="pct"/>
          <w:shd w:val="clear" w:color="auto" w:fill="auto"/>
          <w:noWrap/>
          <w:tcMar>
            <w:left w:w="0" w:type="dxa"/>
            <w:right w:w="0" w:type="dxa"/>
          </w:tcMar>
          <w:vAlign w:val="bottom"/>
        </w:tcPr>
        <w:p w14:paraId="5573FAD4" w14:textId="77777777" w:rsidR="00835098" w:rsidRPr="00A5543E" w:rsidRDefault="00835098" w:rsidP="00A5543E">
          <w:pPr>
            <w:pStyle w:val="Header"/>
            <w:jc w:val="right"/>
            <w:rPr>
              <w:rFonts w:ascii="Arial" w:hAnsi="Arial" w:cs="Arial"/>
              <w:b/>
              <w:sz w:val="28"/>
            </w:rPr>
          </w:pPr>
          <w:r>
            <w:rPr>
              <w:rFonts w:cs="Arial"/>
              <w:b/>
              <w:sz w:val="28"/>
            </w:rPr>
            <w:t>Public</w:t>
          </w:r>
        </w:p>
      </w:tc>
    </w:tr>
    <w:tr w:rsidR="00835098" w14:paraId="32B9285C" w14:textId="77777777" w:rsidTr="00A5543E">
      <w:trPr>
        <w:cantSplit/>
        <w:trHeight w:val="850"/>
      </w:trPr>
      <w:tc>
        <w:tcPr>
          <w:tcW w:w="3639" w:type="pct"/>
          <w:vMerge/>
          <w:shd w:val="clear" w:color="auto" w:fill="auto"/>
          <w:tcMar>
            <w:left w:w="0" w:type="dxa"/>
          </w:tcMar>
        </w:tcPr>
        <w:p w14:paraId="5B0A6A1A" w14:textId="77777777" w:rsidR="00835098" w:rsidRDefault="00835098">
          <w:pPr>
            <w:pStyle w:val="Header"/>
          </w:pPr>
        </w:p>
      </w:tc>
      <w:tc>
        <w:tcPr>
          <w:tcW w:w="1361" w:type="pct"/>
          <w:shd w:val="clear" w:color="auto" w:fill="auto"/>
          <w:noWrap/>
          <w:tcMar>
            <w:top w:w="142" w:type="dxa"/>
            <w:left w:w="0" w:type="dxa"/>
            <w:right w:w="0" w:type="dxa"/>
          </w:tcMar>
        </w:tcPr>
        <w:p w14:paraId="3995610E" w14:textId="77777777" w:rsidR="00835098" w:rsidRPr="00A5543E" w:rsidRDefault="00835098" w:rsidP="00A5543E">
          <w:pPr>
            <w:pStyle w:val="Header"/>
            <w:jc w:val="right"/>
            <w:rPr>
              <w:rFonts w:ascii="Arial" w:hAnsi="Arial" w:cs="Arial"/>
              <w:b/>
              <w:sz w:val="20"/>
            </w:rPr>
          </w:pPr>
        </w:p>
      </w:tc>
    </w:tr>
  </w:tbl>
  <w:p w14:paraId="044E15D6" w14:textId="77777777" w:rsidR="00835098" w:rsidRDefault="0083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34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A5765"/>
    <w:multiLevelType w:val="hybridMultilevel"/>
    <w:tmpl w:val="E81C191E"/>
    <w:lvl w:ilvl="0" w:tplc="D9AC12F8">
      <w:start w:val="1"/>
      <w:numFmt w:val="decimal"/>
      <w:lvlText w:val="Q%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02DA0"/>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60E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EC53C5"/>
    <w:multiLevelType w:val="multilevel"/>
    <w:tmpl w:val="2740188C"/>
    <w:lvl w:ilvl="0">
      <w:start w:val="1"/>
      <w:numFmt w:val="lowerLetter"/>
      <w:pStyle w:val="Numberedlist1"/>
      <w:lvlText w:val="%1."/>
      <w:lvlJc w:val="left"/>
      <w:pPr>
        <w:ind w:left="717" w:hanging="360"/>
      </w:pPr>
      <w:rPr>
        <w:rFonts w:hint="default"/>
      </w:rPr>
    </w:lvl>
    <w:lvl w:ilvl="1">
      <w:start w:val="1"/>
      <w:numFmt w:val="lowerRoman"/>
      <w:pStyle w:val="Numberedlist2"/>
      <w:lvlText w:val="%2."/>
      <w:lvlJc w:val="left"/>
      <w:pPr>
        <w:ind w:left="1440" w:hanging="360"/>
      </w:pPr>
      <w:rPr>
        <w:rFonts w:hint="default"/>
      </w:rPr>
    </w:lvl>
    <w:lvl w:ilvl="2">
      <w:start w:val="1"/>
      <w:numFmt w:val="bullet"/>
      <w:pStyle w:val="Numberedlist3"/>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B37BBB"/>
    <w:multiLevelType w:val="multilevel"/>
    <w:tmpl w:val="334C7716"/>
    <w:styleLink w:val="Style1"/>
    <w:lvl w:ilvl="0">
      <w:start w:val="1"/>
      <w:numFmt w:val="lowerRoman"/>
      <w:lvlText w:val="%1."/>
      <w:lvlJc w:val="right"/>
      <w:pPr>
        <w:ind w:left="1800" w:hanging="360"/>
      </w:pPr>
      <w:rPr>
        <w:rFonts w:hint="default"/>
      </w:rPr>
    </w:lvl>
    <w:lvl w:ilvl="1">
      <w:start w:val="1"/>
      <w:numFmt w:val="lowerLetter"/>
      <w:lvlText w:val="%2."/>
      <w:lvlJc w:val="left"/>
      <w:pPr>
        <w:ind w:left="2520" w:hanging="360"/>
      </w:pPr>
    </w:lvl>
    <w:lvl w:ilvl="2">
      <w:start w:val="1"/>
      <w:numFmt w:val="none"/>
      <w:lvlText w:val="%3."/>
      <w:lvlJc w:val="right"/>
      <w:pPr>
        <w:ind w:left="3240" w:hanging="180"/>
      </w:pPr>
    </w:lvl>
    <w:lvl w:ilvl="3">
      <w:start w:val="1"/>
      <w:numFmt w:val="none"/>
      <w:lvlText w:val="%4."/>
      <w:lvlJc w:val="left"/>
      <w:pPr>
        <w:ind w:left="3960" w:hanging="360"/>
      </w:pPr>
    </w:lvl>
    <w:lvl w:ilvl="4">
      <w:start w:val="1"/>
      <w:numFmt w:val="none"/>
      <w:lvlText w:val="%5."/>
      <w:lvlJc w:val="left"/>
      <w:pPr>
        <w:ind w:left="4680" w:hanging="360"/>
      </w:pPr>
    </w:lvl>
    <w:lvl w:ilvl="5">
      <w:start w:val="1"/>
      <w:numFmt w:val="none"/>
      <w:lvlText w:val="%6."/>
      <w:lvlJc w:val="right"/>
      <w:pPr>
        <w:ind w:left="5400" w:hanging="180"/>
      </w:pPr>
    </w:lvl>
    <w:lvl w:ilvl="6">
      <w:start w:val="1"/>
      <w:numFmt w:val="none"/>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B8858FE"/>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A60CAD"/>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B7B4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C44D9F"/>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CC084A"/>
    <w:multiLevelType w:val="hybridMultilevel"/>
    <w:tmpl w:val="DCB4A3FA"/>
    <w:lvl w:ilvl="0" w:tplc="20968904">
      <w:start w:val="1"/>
      <w:numFmt w:val="bullet"/>
      <w:pStyle w:val="ListParagraph"/>
      <w:lvlText w:val=""/>
      <w:lvlJc w:val="left"/>
      <w:pPr>
        <w:ind w:left="720" w:hanging="360"/>
      </w:pPr>
      <w:rPr>
        <w:rFonts w:ascii="Symbol" w:hAnsi="Symbol" w:hint="default"/>
      </w:rPr>
    </w:lvl>
    <w:lvl w:ilvl="1" w:tplc="0DCEFDFA">
      <w:start w:val="1"/>
      <w:numFmt w:val="bullet"/>
      <w:pStyle w:val="List2nd"/>
      <w:lvlText w:val="o"/>
      <w:lvlJc w:val="left"/>
      <w:pPr>
        <w:ind w:left="1440" w:hanging="360"/>
      </w:pPr>
      <w:rPr>
        <w:rFonts w:ascii="Courier New" w:hAnsi="Courier New" w:cs="Courier New" w:hint="default"/>
      </w:rPr>
    </w:lvl>
    <w:lvl w:ilvl="2" w:tplc="1B4C8012">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E3F66"/>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D33210"/>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1116E2"/>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B04852"/>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F7D8E"/>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7637E5"/>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B50DF"/>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8B6E6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A356E2"/>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9675535"/>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FF11B1"/>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2916F00"/>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0"/>
  </w:num>
  <w:num w:numId="5">
    <w:abstractNumId w:val="20"/>
  </w:num>
  <w:num w:numId="6">
    <w:abstractNumId w:val="24"/>
  </w:num>
  <w:num w:numId="7">
    <w:abstractNumId w:val="17"/>
  </w:num>
  <w:num w:numId="8">
    <w:abstractNumId w:val="9"/>
  </w:num>
  <w:num w:numId="9">
    <w:abstractNumId w:val="13"/>
  </w:num>
  <w:num w:numId="10">
    <w:abstractNumId w:val="12"/>
  </w:num>
  <w:num w:numId="11">
    <w:abstractNumId w:val="23"/>
  </w:num>
  <w:num w:numId="12">
    <w:abstractNumId w:val="22"/>
  </w:num>
  <w:num w:numId="13">
    <w:abstractNumId w:val="10"/>
  </w:num>
  <w:num w:numId="14">
    <w:abstractNumId w:val="10"/>
  </w:num>
  <w:num w:numId="15">
    <w:abstractNumId w:val="11"/>
  </w:num>
  <w:num w:numId="16">
    <w:abstractNumId w:val="19"/>
  </w:num>
  <w:num w:numId="17">
    <w:abstractNumId w:val="14"/>
  </w:num>
  <w:num w:numId="18">
    <w:abstractNumId w:val="0"/>
  </w:num>
  <w:num w:numId="19">
    <w:abstractNumId w:val="15"/>
  </w:num>
  <w:num w:numId="20">
    <w:abstractNumId w:val="7"/>
  </w:num>
  <w:num w:numId="21">
    <w:abstractNumId w:val="8"/>
  </w:num>
  <w:num w:numId="22">
    <w:abstractNumId w:val="2"/>
  </w:num>
  <w:num w:numId="23">
    <w:abstractNumId w:val="16"/>
  </w:num>
  <w:num w:numId="24">
    <w:abstractNumId w:val="21"/>
  </w:num>
  <w:num w:numId="25">
    <w:abstractNumId w:val="18"/>
  </w:num>
  <w:num w:numId="26">
    <w:abstractNumId w:val="10"/>
  </w:num>
  <w:num w:numId="27">
    <w:abstractNumId w:val="10"/>
  </w:num>
  <w:num w:numId="28">
    <w:abstractNumId w:val="6"/>
  </w:num>
  <w:num w:numId="29">
    <w:abstractNumId w:val="10"/>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public"/>
  </w:docVars>
  <w:rsids>
    <w:rsidRoot w:val="0065289C"/>
    <w:rsid w:val="000035AB"/>
    <w:rsid w:val="00005455"/>
    <w:rsid w:val="000078AF"/>
    <w:rsid w:val="0004027E"/>
    <w:rsid w:val="00055BF0"/>
    <w:rsid w:val="00060C34"/>
    <w:rsid w:val="000628D9"/>
    <w:rsid w:val="00065353"/>
    <w:rsid w:val="00071445"/>
    <w:rsid w:val="0007207A"/>
    <w:rsid w:val="000931D7"/>
    <w:rsid w:val="000C6CD8"/>
    <w:rsid w:val="000D78BB"/>
    <w:rsid w:val="001173AB"/>
    <w:rsid w:val="00136887"/>
    <w:rsid w:val="001519AF"/>
    <w:rsid w:val="001614F3"/>
    <w:rsid w:val="001750BD"/>
    <w:rsid w:val="0018614F"/>
    <w:rsid w:val="001A25D1"/>
    <w:rsid w:val="00200C09"/>
    <w:rsid w:val="002139D1"/>
    <w:rsid w:val="0021640B"/>
    <w:rsid w:val="002230E8"/>
    <w:rsid w:val="002668CA"/>
    <w:rsid w:val="00292103"/>
    <w:rsid w:val="00293091"/>
    <w:rsid w:val="002B5032"/>
    <w:rsid w:val="00337440"/>
    <w:rsid w:val="0034072D"/>
    <w:rsid w:val="00343561"/>
    <w:rsid w:val="00344DC0"/>
    <w:rsid w:val="003577F6"/>
    <w:rsid w:val="00377505"/>
    <w:rsid w:val="00380750"/>
    <w:rsid w:val="00392978"/>
    <w:rsid w:val="003B16A6"/>
    <w:rsid w:val="003B183F"/>
    <w:rsid w:val="003C4DAA"/>
    <w:rsid w:val="004309A5"/>
    <w:rsid w:val="00433E25"/>
    <w:rsid w:val="00461767"/>
    <w:rsid w:val="00461D5F"/>
    <w:rsid w:val="004A4DF5"/>
    <w:rsid w:val="004C5F57"/>
    <w:rsid w:val="004E1FA0"/>
    <w:rsid w:val="004E2460"/>
    <w:rsid w:val="004F0E85"/>
    <w:rsid w:val="004F75D3"/>
    <w:rsid w:val="00540DBC"/>
    <w:rsid w:val="00545E83"/>
    <w:rsid w:val="00576D00"/>
    <w:rsid w:val="005A2E8D"/>
    <w:rsid w:val="005A3373"/>
    <w:rsid w:val="005B44A2"/>
    <w:rsid w:val="005E1616"/>
    <w:rsid w:val="005F25CB"/>
    <w:rsid w:val="005F6B54"/>
    <w:rsid w:val="006171F2"/>
    <w:rsid w:val="0062434C"/>
    <w:rsid w:val="0065289C"/>
    <w:rsid w:val="00676D44"/>
    <w:rsid w:val="00677764"/>
    <w:rsid w:val="006C378E"/>
    <w:rsid w:val="006C438B"/>
    <w:rsid w:val="006D6B6A"/>
    <w:rsid w:val="006E20A8"/>
    <w:rsid w:val="00712C66"/>
    <w:rsid w:val="00722718"/>
    <w:rsid w:val="00722D2A"/>
    <w:rsid w:val="00724B9C"/>
    <w:rsid w:val="00730B99"/>
    <w:rsid w:val="007354B5"/>
    <w:rsid w:val="00751436"/>
    <w:rsid w:val="007673C5"/>
    <w:rsid w:val="00767D7C"/>
    <w:rsid w:val="007710EC"/>
    <w:rsid w:val="00781070"/>
    <w:rsid w:val="007918D5"/>
    <w:rsid w:val="00791C24"/>
    <w:rsid w:val="007A34AB"/>
    <w:rsid w:val="007B5466"/>
    <w:rsid w:val="007D2AA9"/>
    <w:rsid w:val="007D2AD2"/>
    <w:rsid w:val="007D722B"/>
    <w:rsid w:val="007E1917"/>
    <w:rsid w:val="007E5BE2"/>
    <w:rsid w:val="007F4623"/>
    <w:rsid w:val="00805BF4"/>
    <w:rsid w:val="00816A3F"/>
    <w:rsid w:val="008263C9"/>
    <w:rsid w:val="00830F8A"/>
    <w:rsid w:val="00833C7D"/>
    <w:rsid w:val="00835098"/>
    <w:rsid w:val="00836B20"/>
    <w:rsid w:val="008406F0"/>
    <w:rsid w:val="00846A3C"/>
    <w:rsid w:val="00864DC2"/>
    <w:rsid w:val="00864F95"/>
    <w:rsid w:val="00866906"/>
    <w:rsid w:val="00875978"/>
    <w:rsid w:val="00884487"/>
    <w:rsid w:val="008E40D3"/>
    <w:rsid w:val="008F2ED2"/>
    <w:rsid w:val="008F38B6"/>
    <w:rsid w:val="00900EC4"/>
    <w:rsid w:val="00905EFD"/>
    <w:rsid w:val="0091398D"/>
    <w:rsid w:val="00915057"/>
    <w:rsid w:val="00916E30"/>
    <w:rsid w:val="009205C6"/>
    <w:rsid w:val="00924AC2"/>
    <w:rsid w:val="0094163C"/>
    <w:rsid w:val="00961963"/>
    <w:rsid w:val="0096707B"/>
    <w:rsid w:val="0098545C"/>
    <w:rsid w:val="00986827"/>
    <w:rsid w:val="009B44BB"/>
    <w:rsid w:val="009B4953"/>
    <w:rsid w:val="009C2FDE"/>
    <w:rsid w:val="009D4121"/>
    <w:rsid w:val="009F51B2"/>
    <w:rsid w:val="00A43B95"/>
    <w:rsid w:val="00A5151B"/>
    <w:rsid w:val="00A545E1"/>
    <w:rsid w:val="00A5543E"/>
    <w:rsid w:val="00A614D5"/>
    <w:rsid w:val="00A72903"/>
    <w:rsid w:val="00AA359F"/>
    <w:rsid w:val="00AA3DE5"/>
    <w:rsid w:val="00AB2EE1"/>
    <w:rsid w:val="00AE0E80"/>
    <w:rsid w:val="00AE42AB"/>
    <w:rsid w:val="00AF792A"/>
    <w:rsid w:val="00B24A7B"/>
    <w:rsid w:val="00B35D9D"/>
    <w:rsid w:val="00B631B3"/>
    <w:rsid w:val="00B80036"/>
    <w:rsid w:val="00BC5B5C"/>
    <w:rsid w:val="00BD1346"/>
    <w:rsid w:val="00C13028"/>
    <w:rsid w:val="00C351AA"/>
    <w:rsid w:val="00CB474B"/>
    <w:rsid w:val="00CC381B"/>
    <w:rsid w:val="00D15886"/>
    <w:rsid w:val="00D314D3"/>
    <w:rsid w:val="00D40431"/>
    <w:rsid w:val="00D66110"/>
    <w:rsid w:val="00D750E4"/>
    <w:rsid w:val="00D87F4E"/>
    <w:rsid w:val="00D92DBC"/>
    <w:rsid w:val="00D930C7"/>
    <w:rsid w:val="00DC185B"/>
    <w:rsid w:val="00DF07F9"/>
    <w:rsid w:val="00DF38AC"/>
    <w:rsid w:val="00E2602B"/>
    <w:rsid w:val="00E2618B"/>
    <w:rsid w:val="00E92F2E"/>
    <w:rsid w:val="00EA0774"/>
    <w:rsid w:val="00EA23C9"/>
    <w:rsid w:val="00EB0D1C"/>
    <w:rsid w:val="00EE2B92"/>
    <w:rsid w:val="00EF6718"/>
    <w:rsid w:val="00F014EE"/>
    <w:rsid w:val="00F265B2"/>
    <w:rsid w:val="00F57F64"/>
    <w:rsid w:val="00F85980"/>
    <w:rsid w:val="00F94153"/>
    <w:rsid w:val="00F9508A"/>
    <w:rsid w:val="00FB0E56"/>
    <w:rsid w:val="00FC1291"/>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99F4"/>
  <w15:chartTrackingRefBased/>
  <w15:docId w15:val="{18D078EE-D448-4FC4-B225-C88AA91D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3E"/>
  </w:style>
  <w:style w:type="paragraph" w:styleId="Heading1">
    <w:name w:val="heading 1"/>
    <w:next w:val="Normal"/>
    <w:link w:val="Heading1Char"/>
    <w:uiPriority w:val="9"/>
    <w:qFormat/>
    <w:rsid w:val="00900EC4"/>
    <w:pPr>
      <w:keepNext/>
      <w:keepLines/>
      <w:numPr>
        <w:numId w:val="1"/>
      </w:numPr>
      <w:suppressAutoHyphens/>
      <w:spacing w:before="360" w:after="120"/>
      <w:ind w:left="431" w:hanging="431"/>
      <w:outlineLvl w:val="0"/>
    </w:pPr>
    <w:rPr>
      <w:rFonts w:ascii="Arial" w:eastAsiaTheme="majorEastAsia" w:hAnsi="Arial" w:cstheme="majorBidi"/>
      <w:b/>
      <w:sz w:val="26"/>
      <w:szCs w:val="32"/>
    </w:rPr>
  </w:style>
  <w:style w:type="paragraph" w:styleId="Heading2">
    <w:name w:val="heading 2"/>
    <w:next w:val="Normal"/>
    <w:link w:val="Heading2Char"/>
    <w:uiPriority w:val="9"/>
    <w:qFormat/>
    <w:rsid w:val="00900EC4"/>
    <w:pPr>
      <w:keepNext/>
      <w:keepLines/>
      <w:numPr>
        <w:ilvl w:val="1"/>
        <w:numId w:val="1"/>
      </w:numPr>
      <w:suppressAutoHyphens/>
      <w:spacing w:before="160" w:after="120"/>
      <w:ind w:left="1298" w:hanging="578"/>
      <w:outlineLvl w:val="1"/>
    </w:pPr>
    <w:rPr>
      <w:rFonts w:ascii="Arial" w:eastAsiaTheme="majorEastAsia" w:hAnsi="Arial" w:cstheme="majorBidi"/>
      <w:b/>
      <w:szCs w:val="26"/>
    </w:rPr>
  </w:style>
  <w:style w:type="paragraph" w:styleId="Heading3">
    <w:name w:val="heading 3"/>
    <w:next w:val="Normal"/>
    <w:link w:val="Heading3Char"/>
    <w:uiPriority w:val="9"/>
    <w:qFormat/>
    <w:rsid w:val="00900EC4"/>
    <w:pPr>
      <w:keepNext/>
      <w:keepLines/>
      <w:numPr>
        <w:ilvl w:val="2"/>
        <w:numId w:val="1"/>
      </w:numPr>
      <w:suppressAutoHyphens/>
      <w:spacing w:before="160" w:after="120"/>
      <w:ind w:left="2160"/>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900EC4"/>
    <w:pPr>
      <w:keepNext/>
      <w:keepLines/>
      <w:numPr>
        <w:ilvl w:val="3"/>
        <w:numId w:val="1"/>
      </w:numPr>
      <w:spacing w:before="160"/>
      <w:ind w:left="302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900EC4"/>
    <w:pPr>
      <w:outlineLvl w:val="4"/>
    </w:pPr>
    <w:rPr>
      <w:rFonts w:cs="Arial"/>
      <w:u w:val="single"/>
    </w:rPr>
  </w:style>
  <w:style w:type="paragraph" w:styleId="Heading6">
    <w:name w:val="heading 6"/>
    <w:basedOn w:val="Normal"/>
    <w:next w:val="Normal"/>
    <w:link w:val="Heading6Char"/>
    <w:uiPriority w:val="9"/>
    <w:semiHidden/>
    <w:unhideWhenUsed/>
    <w:qFormat/>
    <w:rsid w:val="00F9508A"/>
    <w:pPr>
      <w:keepNext/>
      <w:keepLines/>
      <w:numPr>
        <w:ilvl w:val="5"/>
        <w:numId w:val="1"/>
      </w:numPr>
      <w:spacing w:before="40" w:after="0"/>
      <w:outlineLvl w:val="5"/>
    </w:pPr>
    <w:rPr>
      <w:rFonts w:asciiTheme="majorHAnsi" w:eastAsiaTheme="majorEastAsia" w:hAnsiTheme="majorHAnsi" w:cstheme="majorBidi"/>
      <w:color w:val="1D3555" w:themeColor="accent1" w:themeShade="7F"/>
    </w:rPr>
  </w:style>
  <w:style w:type="paragraph" w:styleId="Heading7">
    <w:name w:val="heading 7"/>
    <w:basedOn w:val="Normal"/>
    <w:next w:val="Normal"/>
    <w:link w:val="Heading7Char"/>
    <w:uiPriority w:val="9"/>
    <w:semiHidden/>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D3555"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A5"/>
  </w:style>
  <w:style w:type="paragraph" w:styleId="Footer">
    <w:name w:val="footer"/>
    <w:basedOn w:val="Normal"/>
    <w:link w:val="FooterChar"/>
    <w:uiPriority w:val="99"/>
    <w:qFormat/>
    <w:rsid w:val="00900EC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900EC4"/>
    <w:rPr>
      <w:rFonts w:ascii="Arial" w:hAnsi="Arial"/>
      <w:sz w:val="18"/>
    </w:rPr>
  </w:style>
  <w:style w:type="table" w:styleId="TableGrid">
    <w:name w:val="Table Grid"/>
    <w:basedOn w:val="TableNormal"/>
    <w:uiPriority w:val="3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next w:val="Normal"/>
    <w:link w:val="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basedOn w:val="DefaultParagraphFont"/>
    <w:link w:val="Title"/>
    <w:uiPriority w:val="37"/>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List 1"/>
    <w:basedOn w:val="Normal"/>
    <w:uiPriority w:val="34"/>
    <w:qFormat/>
    <w:rsid w:val="00900EC4"/>
    <w:pPr>
      <w:numPr>
        <w:numId w:val="4"/>
      </w:numPr>
      <w:contextualSpacing/>
    </w:pPr>
    <w:rPr>
      <w:lang w:val="en-US"/>
    </w:rPr>
  </w:style>
  <w:style w:type="character" w:customStyle="1" w:styleId="Heading1Char">
    <w:name w:val="Heading 1 Char"/>
    <w:basedOn w:val="DefaultParagraphFont"/>
    <w:link w:val="Heading1"/>
    <w:uiPriority w:val="9"/>
    <w:rsid w:val="00900EC4"/>
    <w:rPr>
      <w:rFonts w:ascii="Arial" w:eastAsiaTheme="majorEastAsia" w:hAnsi="Arial" w:cstheme="majorBidi"/>
      <w:b/>
      <w:sz w:val="26"/>
      <w:szCs w:val="32"/>
    </w:rPr>
  </w:style>
  <w:style w:type="character" w:customStyle="1" w:styleId="Heading2Char">
    <w:name w:val="Heading 2 Char"/>
    <w:basedOn w:val="DefaultParagraphFont"/>
    <w:link w:val="Heading2"/>
    <w:uiPriority w:val="9"/>
    <w:rsid w:val="00900EC4"/>
    <w:rPr>
      <w:rFonts w:ascii="Arial" w:eastAsiaTheme="majorEastAsia" w:hAnsi="Arial" w:cstheme="majorBidi"/>
      <w:b/>
      <w:szCs w:val="26"/>
    </w:rPr>
  </w:style>
  <w:style w:type="character" w:customStyle="1" w:styleId="Heading3Char">
    <w:name w:val="Heading 3 Char"/>
    <w:basedOn w:val="DefaultParagraphFont"/>
    <w:link w:val="Heading3"/>
    <w:uiPriority w:val="9"/>
    <w:rsid w:val="00900EC4"/>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900EC4"/>
    <w:rPr>
      <w:rFonts w:eastAsiaTheme="majorEastAsia"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D3555"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D3555"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character" w:styleId="BookTitle">
    <w:name w:val="Book Title"/>
    <w:uiPriority w:val="33"/>
    <w:rsid w:val="00F9508A"/>
  </w:style>
  <w:style w:type="paragraph" w:customStyle="1" w:styleId="List2nd">
    <w:name w:val="List 2nd"/>
    <w:basedOn w:val="ListParagraph"/>
    <w:uiPriority w:val="34"/>
    <w:qFormat/>
    <w:rsid w:val="00884487"/>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 w:val="20"/>
      <w:szCs w:val="18"/>
    </w:rPr>
  </w:style>
  <w:style w:type="character" w:styleId="Emphasis">
    <w:name w:val="Emphasis"/>
    <w:uiPriority w:val="20"/>
    <w:qFormat/>
    <w:rsid w:val="00866906"/>
    <w:rPr>
      <w:b/>
    </w:rPr>
  </w:style>
  <w:style w:type="character" w:styleId="SubtleEmphasis">
    <w:name w:val="Subtle Emphasis"/>
    <w:basedOn w:val="DefaultParagraphFont"/>
    <w:uiPriority w:val="19"/>
    <w:qFormat/>
    <w:rsid w:val="00866906"/>
    <w:rPr>
      <w:u w:val="single"/>
    </w:rPr>
  </w:style>
  <w:style w:type="table" w:styleId="ListTable7Colorful-Accent6">
    <w:name w:val="List Table 7 Colorful Accent 6"/>
    <w:basedOn w:val="TableNormal"/>
    <w:uiPriority w:val="52"/>
    <w:rsid w:val="00A43B95"/>
    <w:pPr>
      <w:spacing w:after="0" w:line="240" w:lineRule="auto"/>
    </w:pPr>
    <w:rPr>
      <w:color w:val="9F44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5B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5B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5B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5B20" w:themeColor="accent6"/>
        </w:tcBorders>
        <w:shd w:val="clear" w:color="auto" w:fill="FFFFFF" w:themeFill="background1"/>
      </w:tcPr>
    </w:tblStylePr>
    <w:tblStylePr w:type="band1Vert">
      <w:tblPr/>
      <w:tcPr>
        <w:shd w:val="clear" w:color="auto" w:fill="F8DDD0" w:themeFill="accent6" w:themeFillTint="33"/>
      </w:tcPr>
    </w:tblStylePr>
    <w:tblStylePr w:type="band1Horz">
      <w:tblPr/>
      <w:tcPr>
        <w:shd w:val="clear" w:color="auto" w:fill="F8DD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5E0F1"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900EC4"/>
    <w:pPr>
      <w:numPr>
        <w:numId w:val="3"/>
      </w:numPr>
      <w:suppressAutoHyphens/>
      <w:spacing w:after="120"/>
      <w:ind w:left="714" w:hanging="357"/>
    </w:pPr>
    <w:rPr>
      <w:rFonts w:ascii="Arial" w:hAnsi="Arial"/>
      <w:lang w:val="en-US"/>
    </w:rPr>
  </w:style>
  <w:style w:type="paragraph" w:customStyle="1" w:styleId="Numberedlist2">
    <w:name w:val="Numbered list 2"/>
    <w:basedOn w:val="Numberedlist1"/>
    <w:uiPriority w:val="34"/>
    <w:qFormat/>
    <w:rsid w:val="00900EC4"/>
    <w:pPr>
      <w:numPr>
        <w:ilvl w:val="1"/>
      </w:numPr>
      <w:ind w:left="1434" w:hanging="357"/>
    </w:pPr>
  </w:style>
  <w:style w:type="numbering" w:customStyle="1" w:styleId="Style1">
    <w:name w:val="Style1"/>
    <w:uiPriority w:val="99"/>
    <w:rsid w:val="00065353"/>
    <w:pPr>
      <w:numPr>
        <w:numId w:val="2"/>
      </w:numPr>
    </w:pPr>
  </w:style>
  <w:style w:type="paragraph" w:customStyle="1" w:styleId="Numberedlist3">
    <w:name w:val="Numbered list 3"/>
    <w:basedOn w:val="Numberedlist2"/>
    <w:uiPriority w:val="34"/>
    <w:qFormat/>
    <w:rsid w:val="00900EC4"/>
    <w:pPr>
      <w:numPr>
        <w:ilvl w:val="2"/>
      </w:numPr>
      <w:ind w:left="2154" w:hanging="357"/>
    </w:pPr>
  </w:style>
  <w:style w:type="paragraph" w:customStyle="1" w:styleId="List3rd">
    <w:name w:val="List 3rd"/>
    <w:basedOn w:val="ListParagraph"/>
    <w:uiPriority w:val="34"/>
    <w:qFormat/>
    <w:rsid w:val="007354B5"/>
    <w:pPr>
      <w:numPr>
        <w:ilvl w:val="2"/>
      </w:numPr>
    </w:pPr>
  </w:style>
  <w:style w:type="paragraph" w:styleId="TOCHeading">
    <w:name w:val="TOC Heading"/>
    <w:aliases w:val="Table of Content Heading"/>
    <w:basedOn w:val="Heading1withoutnumber"/>
    <w:next w:val="Normal"/>
    <w:uiPriority w:val="39"/>
    <w:semiHidden/>
    <w:qFormat/>
    <w:rsid w:val="00EB0D1C"/>
    <w:pPr>
      <w:outlineLvl w:val="9"/>
    </w:pPr>
    <w:rPr>
      <w:rFonts w:asciiTheme="majorHAnsi" w:hAnsiTheme="majorHAnsi"/>
      <w:lang w:val="en-US"/>
    </w:rPr>
  </w:style>
  <w:style w:type="paragraph" w:styleId="TOC1">
    <w:name w:val="toc 1"/>
    <w:basedOn w:val="Normal"/>
    <w:next w:val="Normal"/>
    <w:autoRedefine/>
    <w:uiPriority w:val="39"/>
    <w:unhideWhenUsed/>
    <w:rsid w:val="001614F3"/>
    <w:pPr>
      <w:spacing w:after="100"/>
    </w:pPr>
  </w:style>
  <w:style w:type="paragraph" w:styleId="TOC2">
    <w:name w:val="toc 2"/>
    <w:basedOn w:val="Normal"/>
    <w:next w:val="Normal"/>
    <w:autoRedefine/>
    <w:uiPriority w:val="39"/>
    <w:unhideWhenUsed/>
    <w:rsid w:val="001614F3"/>
    <w:pPr>
      <w:spacing w:after="100"/>
      <w:ind w:left="220"/>
    </w:pPr>
  </w:style>
  <w:style w:type="paragraph" w:styleId="TOC3">
    <w:name w:val="toc 3"/>
    <w:basedOn w:val="Normal"/>
    <w:next w:val="Normal"/>
    <w:autoRedefine/>
    <w:uiPriority w:val="39"/>
    <w:unhideWhenUsed/>
    <w:rsid w:val="001614F3"/>
    <w:pPr>
      <w:spacing w:after="100"/>
      <w:ind w:left="440"/>
    </w:pPr>
  </w:style>
  <w:style w:type="character" w:styleId="Hyperlink">
    <w:name w:val="Hyperlink"/>
    <w:basedOn w:val="DefaultParagraphFont"/>
    <w:uiPriority w:val="99"/>
    <w:unhideWhenUsed/>
    <w:rsid w:val="001614F3"/>
    <w:rPr>
      <w:color w:val="3A6BAC" w:themeColor="hyperlink"/>
      <w:u w:val="single"/>
    </w:rPr>
  </w:style>
  <w:style w:type="paragraph" w:customStyle="1" w:styleId="Annextitle">
    <w:name w:val="Annex title"/>
    <w:basedOn w:val="Heading1"/>
    <w:next w:val="Normal"/>
    <w:uiPriority w:val="37"/>
    <w:qFormat/>
    <w:rsid w:val="0091398D"/>
    <w:pPr>
      <w:numPr>
        <w:numId w:val="5"/>
      </w:numPr>
      <w:spacing w:before="120"/>
    </w:pPr>
    <w:rPr>
      <w:rFonts w:cs="Arial"/>
      <w:noProof/>
      <w:lang w:val="la-Latn"/>
    </w:rPr>
  </w:style>
  <w:style w:type="paragraph" w:customStyle="1" w:styleId="Heading1withoutnumber">
    <w:name w:val="Heading 1 without number"/>
    <w:basedOn w:val="Heading1"/>
    <w:next w:val="Normal"/>
    <w:link w:val="Heading1withoutnumberChar"/>
    <w:uiPriority w:val="35"/>
    <w:qFormat/>
    <w:rsid w:val="00EB0D1C"/>
    <w:pPr>
      <w:numPr>
        <w:numId w:val="0"/>
      </w:numPr>
    </w:pPr>
  </w:style>
  <w:style w:type="paragraph" w:customStyle="1" w:styleId="Numberednormal">
    <w:name w:val="Numbered normal"/>
    <w:basedOn w:val="Normal"/>
    <w:uiPriority w:val="1"/>
    <w:qFormat/>
    <w:rsid w:val="00900EC4"/>
    <w:pPr>
      <w:numPr>
        <w:numId w:val="6"/>
      </w:numPr>
      <w:ind w:left="0" w:firstLine="0"/>
    </w:pPr>
    <w:rPr>
      <w:noProof/>
      <w:lang w:val="en-US"/>
    </w:rPr>
  </w:style>
  <w:style w:type="character" w:customStyle="1" w:styleId="Heading1withoutnumberChar">
    <w:name w:val="Heading 1 without number Char"/>
    <w:basedOn w:val="Heading1Char"/>
    <w:link w:val="Heading1withoutnumber"/>
    <w:uiPriority w:val="35"/>
    <w:rsid w:val="000628D9"/>
    <w:rPr>
      <w:rFonts w:ascii="Arial" w:eastAsiaTheme="majorEastAsia" w:hAnsi="Arial" w:cstheme="majorBidi"/>
      <w:b/>
      <w:smallCaps w:val="0"/>
      <w:color w:val="3A6BAC" w:themeColor="accent1"/>
      <w:sz w:val="28"/>
      <w:szCs w:val="32"/>
    </w:rPr>
  </w:style>
  <w:style w:type="paragraph" w:customStyle="1" w:styleId="Box">
    <w:name w:val="Box"/>
    <w:basedOn w:val="Normal"/>
    <w:uiPriority w:val="40"/>
    <w:qFormat/>
    <w:rsid w:val="00900EC4"/>
    <w:pPr>
      <w:pBdr>
        <w:top w:val="single" w:sz="4" w:space="0" w:color="000000"/>
        <w:left w:val="single" w:sz="4" w:space="0" w:color="000000"/>
        <w:bottom w:val="single" w:sz="4" w:space="0" w:color="000000"/>
        <w:right w:val="single" w:sz="4" w:space="0" w:color="000000"/>
      </w:pBdr>
      <w:spacing w:after="1"/>
      <w:ind w:left="11" w:hanging="11"/>
    </w:pPr>
    <w:rPr>
      <w:rFonts w:eastAsiaTheme="minorEastAsia" w:cs="Arial"/>
      <w:lang w:eastAsia="de-CH"/>
    </w:rPr>
  </w:style>
  <w:style w:type="paragraph" w:customStyle="1" w:styleId="BlueBox">
    <w:name w:val="Blue Box"/>
    <w:basedOn w:val="Normal"/>
    <w:uiPriority w:val="41"/>
    <w:qFormat/>
    <w:rsid w:val="00900EC4"/>
    <w:pPr>
      <w:pBdr>
        <w:top w:val="single" w:sz="4" w:space="0" w:color="auto"/>
        <w:left w:val="single" w:sz="4" w:space="4" w:color="auto"/>
        <w:bottom w:val="single" w:sz="4" w:space="1" w:color="auto"/>
        <w:right w:val="single" w:sz="4" w:space="4" w:color="auto"/>
      </w:pBdr>
      <w:shd w:val="clear" w:color="auto" w:fill="D5E0F1" w:themeFill="accent1" w:themeFillTint="33"/>
      <w:spacing w:after="200" w:line="276" w:lineRule="auto"/>
      <w:jc w:val="center"/>
    </w:pPr>
    <w:rPr>
      <w:rFonts w:eastAsia="Times New Roman" w:cs="Arial"/>
      <w:b/>
      <w:noProof/>
      <w:lang w:val="en-US"/>
    </w:rPr>
  </w:style>
  <w:style w:type="paragraph" w:styleId="FootnoteText">
    <w:name w:val="footnote text"/>
    <w:basedOn w:val="Normal"/>
    <w:link w:val="FootnoteTextChar"/>
    <w:uiPriority w:val="40"/>
    <w:semiHidden/>
    <w:qFormat/>
    <w:rsid w:val="005A2E8D"/>
    <w:pPr>
      <w:spacing w:after="0" w:line="240" w:lineRule="auto"/>
    </w:pPr>
    <w:rPr>
      <w:sz w:val="20"/>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900EC4"/>
    <w:rPr>
      <w:sz w:val="30"/>
      <w:szCs w:val="30"/>
      <w:lang w:val="en-US"/>
    </w:rPr>
  </w:style>
  <w:style w:type="paragraph" w:customStyle="1" w:styleId="Smallsubtitle">
    <w:name w:val="Small subtitle"/>
    <w:basedOn w:val="SmallTitle"/>
    <w:link w:val="SmallsubtitleChar"/>
    <w:uiPriority w:val="38"/>
    <w:qFormat/>
    <w:rsid w:val="00900EC4"/>
    <w:pPr>
      <w:spacing w:before="240" w:after="240"/>
    </w:pPr>
    <w:rPr>
      <w:b w:val="0"/>
      <w:sz w:val="22"/>
      <w:szCs w:val="22"/>
    </w:rPr>
  </w:style>
  <w:style w:type="character" w:customStyle="1" w:styleId="SmallTitleChar">
    <w:name w:val="Small Title Char"/>
    <w:basedOn w:val="TitleChar"/>
    <w:link w:val="SmallTitle"/>
    <w:uiPriority w:val="38"/>
    <w:rsid w:val="00900EC4"/>
    <w:rPr>
      <w:rFonts w:ascii="Arial" w:eastAsia="Times New Roman" w:hAnsi="Arial" w:cs="Arial"/>
      <w:b/>
      <w:bCs/>
      <w:color w:val="000000"/>
      <w:sz w:val="30"/>
      <w:szCs w:val="30"/>
      <w:lang w:val="en-US" w:eastAsia="en-GB"/>
    </w:rPr>
  </w:style>
  <w:style w:type="character" w:customStyle="1" w:styleId="SmallsubtitleChar">
    <w:name w:val="Small subtitle Char"/>
    <w:basedOn w:val="SmallTitleChar"/>
    <w:link w:val="Smallsubtitle"/>
    <w:uiPriority w:val="38"/>
    <w:rsid w:val="00900EC4"/>
    <w:rPr>
      <w:rFonts w:ascii="Arial" w:eastAsia="Times New Roman" w:hAnsi="Arial" w:cs="Arial"/>
      <w:b w:val="0"/>
      <w:bCs/>
      <w:color w:val="000000"/>
      <w:sz w:val="30"/>
      <w:szCs w:val="30"/>
      <w:lang w:val="en-US" w:eastAsia="en-GB"/>
    </w:rPr>
  </w:style>
  <w:style w:type="character" w:styleId="CommentReference">
    <w:name w:val="annotation reference"/>
    <w:basedOn w:val="DefaultParagraphFont"/>
    <w:uiPriority w:val="99"/>
    <w:semiHidden/>
    <w:unhideWhenUsed/>
    <w:rsid w:val="001750BD"/>
    <w:rPr>
      <w:sz w:val="16"/>
      <w:szCs w:val="16"/>
    </w:rPr>
  </w:style>
  <w:style w:type="paragraph" w:styleId="CommentText">
    <w:name w:val="annotation text"/>
    <w:basedOn w:val="Normal"/>
    <w:link w:val="CommentTextChar"/>
    <w:uiPriority w:val="99"/>
    <w:semiHidden/>
    <w:unhideWhenUsed/>
    <w:rsid w:val="001750BD"/>
    <w:pPr>
      <w:spacing w:line="240" w:lineRule="auto"/>
    </w:pPr>
    <w:rPr>
      <w:sz w:val="20"/>
      <w:szCs w:val="20"/>
    </w:rPr>
  </w:style>
  <w:style w:type="character" w:customStyle="1" w:styleId="CommentTextChar">
    <w:name w:val="Comment Text Char"/>
    <w:basedOn w:val="DefaultParagraphFont"/>
    <w:link w:val="CommentText"/>
    <w:uiPriority w:val="99"/>
    <w:semiHidden/>
    <w:rsid w:val="001750BD"/>
    <w:rPr>
      <w:sz w:val="20"/>
      <w:szCs w:val="20"/>
    </w:rPr>
  </w:style>
  <w:style w:type="paragraph" w:styleId="CommentSubject">
    <w:name w:val="annotation subject"/>
    <w:basedOn w:val="CommentText"/>
    <w:next w:val="CommentText"/>
    <w:link w:val="CommentSubjectChar"/>
    <w:uiPriority w:val="99"/>
    <w:semiHidden/>
    <w:unhideWhenUsed/>
    <w:rsid w:val="001750BD"/>
    <w:rPr>
      <w:b/>
      <w:bCs/>
    </w:rPr>
  </w:style>
  <w:style w:type="character" w:customStyle="1" w:styleId="CommentSubjectChar">
    <w:name w:val="Comment Subject Char"/>
    <w:basedOn w:val="CommentTextChar"/>
    <w:link w:val="CommentSubject"/>
    <w:uiPriority w:val="99"/>
    <w:semiHidden/>
    <w:rsid w:val="001750BD"/>
    <w:rPr>
      <w:b/>
      <w:bCs/>
      <w:sz w:val="20"/>
      <w:szCs w:val="20"/>
    </w:rPr>
  </w:style>
  <w:style w:type="paragraph" w:styleId="BalloonText">
    <w:name w:val="Balloon Text"/>
    <w:basedOn w:val="Normal"/>
    <w:link w:val="BalloonTextChar"/>
    <w:uiPriority w:val="99"/>
    <w:semiHidden/>
    <w:unhideWhenUsed/>
    <w:rsid w:val="00175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559353">
      <w:bodyDiv w:val="1"/>
      <w:marLeft w:val="0"/>
      <w:marRight w:val="0"/>
      <w:marTop w:val="0"/>
      <w:marBottom w:val="0"/>
      <w:divBdr>
        <w:top w:val="none" w:sz="0" w:space="0" w:color="auto"/>
        <w:left w:val="none" w:sz="0" w:space="0" w:color="auto"/>
        <w:bottom w:val="none" w:sz="0" w:space="0" w:color="auto"/>
        <w:right w:val="none" w:sz="0" w:space="0" w:color="auto"/>
      </w:divBdr>
    </w:div>
    <w:div w:id="14684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IAIS\Master%20default.dotx" TargetMode="External"/></Relationships>
</file>

<file path=word/theme/theme1.xml><?xml version="1.0" encoding="utf-8"?>
<a:theme xmlns:a="http://schemas.openxmlformats.org/drawingml/2006/main" name="Office Theme">
  <a:themeElements>
    <a:clrScheme name="BIS strong">
      <a:dk1>
        <a:sysClr val="windowText" lastClr="000000"/>
      </a:dk1>
      <a:lt1>
        <a:sysClr val="window" lastClr="FFFFFF"/>
      </a:lt1>
      <a:dk2>
        <a:srgbClr val="784722"/>
      </a:dk2>
      <a:lt2>
        <a:srgbClr val="BCBDBC"/>
      </a:lt2>
      <a:accent1>
        <a:srgbClr val="3A6BAC"/>
      </a:accent1>
      <a:accent2>
        <a:srgbClr val="AA322F"/>
      </a:accent2>
      <a:accent3>
        <a:srgbClr val="427F6D"/>
      </a:accent3>
      <a:accent4>
        <a:srgbClr val="633D83"/>
      </a:accent4>
      <a:accent5>
        <a:srgbClr val="EAA121"/>
      </a:accent5>
      <a:accent6>
        <a:srgbClr val="D55B20"/>
      </a:accent6>
      <a:hlink>
        <a:srgbClr val="3A6BAC"/>
      </a:hlink>
      <a:folHlink>
        <a:srgbClr val="800080"/>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782A-34FE-4CEE-8788-B403497F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default</Template>
  <TotalTime>16</TotalTime>
  <Pages>9</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dc:creator>
  <cp:keywords/>
  <dc:description/>
  <cp:lastModifiedBy>Stastny, Tomas</cp:lastModifiedBy>
  <cp:revision>7</cp:revision>
  <dcterms:created xsi:type="dcterms:W3CDTF">2021-11-18T10:41:00Z</dcterms:created>
  <dcterms:modified xsi:type="dcterms:W3CDTF">2021-11-18T10:56:00Z</dcterms:modified>
</cp:coreProperties>
</file>