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D4E0" w14:textId="77777777" w:rsidR="00D73268" w:rsidRDefault="00D73268" w:rsidP="00D73268">
      <w:pPr>
        <w:pStyle w:val="Title"/>
      </w:pPr>
    </w:p>
    <w:p w14:paraId="712AD60D" w14:textId="69FE885D" w:rsidR="00D73268" w:rsidRDefault="002A1719" w:rsidP="002A1719">
      <w:pPr>
        <w:pStyle w:val="Title"/>
        <w:tabs>
          <w:tab w:val="left" w:pos="7380"/>
        </w:tabs>
        <w:jc w:val="left"/>
      </w:pPr>
      <w:r>
        <w:tab/>
      </w:r>
    </w:p>
    <w:p w14:paraId="3EFE3E9C" w14:textId="77777777" w:rsidR="00D73268" w:rsidRDefault="00D73268" w:rsidP="00D73268">
      <w:pPr>
        <w:pStyle w:val="Title"/>
      </w:pPr>
    </w:p>
    <w:p w14:paraId="436A624E" w14:textId="77777777" w:rsidR="00D73268" w:rsidRDefault="00D73268" w:rsidP="00D73268">
      <w:pPr>
        <w:pStyle w:val="Title"/>
      </w:pPr>
    </w:p>
    <w:p w14:paraId="1C828F9E" w14:textId="77777777" w:rsidR="00D73268" w:rsidRDefault="00D73268" w:rsidP="00D73268">
      <w:pPr>
        <w:pStyle w:val="Title"/>
      </w:pPr>
    </w:p>
    <w:p w14:paraId="74E0C5B3" w14:textId="177D25EC" w:rsidR="00B345C9" w:rsidRPr="00B345C9" w:rsidRDefault="004F450E" w:rsidP="00B345C9">
      <w:pPr>
        <w:pStyle w:val="Title"/>
      </w:pPr>
      <w:r>
        <w:t xml:space="preserve">Questions for </w:t>
      </w:r>
      <w:r w:rsidR="00B345C9">
        <w:t>p</w:t>
      </w:r>
      <w:r w:rsidR="00B345C9" w:rsidRPr="00B345C9">
        <w:t xml:space="preserve">ublic consultation on </w:t>
      </w:r>
      <w:r w:rsidR="00CF1B13">
        <w:t xml:space="preserve">proposed changes to reflect climate risk in selected ICP guidance and </w:t>
      </w:r>
      <w:r w:rsidR="004321D2">
        <w:t>supporting material</w:t>
      </w:r>
    </w:p>
    <w:p w14:paraId="3C460DF5" w14:textId="27BE84BF" w:rsidR="006E1B30" w:rsidRPr="006E1B30" w:rsidRDefault="006E1B30" w:rsidP="00CD7BDF">
      <w:pPr>
        <w:pStyle w:val="Title"/>
        <w:ind w:left="0"/>
        <w:jc w:val="both"/>
      </w:pPr>
    </w:p>
    <w:p w14:paraId="42538D58" w14:textId="1A624AFA" w:rsidR="00D73268" w:rsidRDefault="00D73268" w:rsidP="00D73268">
      <w:pPr>
        <w:rPr>
          <w:lang w:eastAsia="en-GB"/>
        </w:rPr>
      </w:pPr>
    </w:p>
    <w:p w14:paraId="47E322C6" w14:textId="77777777" w:rsidR="00D73268" w:rsidRDefault="00D73268" w:rsidP="00D73268">
      <w:pPr>
        <w:rPr>
          <w:lang w:eastAsia="en-GB"/>
        </w:rPr>
      </w:pPr>
    </w:p>
    <w:p w14:paraId="09064075" w14:textId="5972D2A3" w:rsidR="00D73268" w:rsidRPr="00CA70DA" w:rsidRDefault="00D73268" w:rsidP="00D73268">
      <w:pPr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</w:t>
      </w:r>
      <w:r w:rsidR="006E1B30">
        <w:rPr>
          <w:lang w:eastAsia="en-GB"/>
        </w:rPr>
        <w:t>p</w:t>
      </w:r>
      <w:r w:rsidR="006E1B30" w:rsidRPr="006E1B30">
        <w:rPr>
          <w:lang w:eastAsia="en-GB"/>
        </w:rPr>
        <w:t xml:space="preserve">ublic consultation on </w:t>
      </w:r>
      <w:r w:rsidR="00CF1B13">
        <w:rPr>
          <w:lang w:eastAsia="en-GB"/>
        </w:rPr>
        <w:t xml:space="preserve">the proposed changes </w:t>
      </w:r>
      <w:r w:rsidR="00CF1B13">
        <w:t>to reflect climate risk in selected ICP guidance material and supporting material</w:t>
      </w:r>
      <w:r w:rsidR="006E1B30">
        <w:rPr>
          <w:lang w:eastAsia="en-GB"/>
        </w:rPr>
        <w:t xml:space="preserve">. </w:t>
      </w:r>
      <w:r w:rsidRPr="00CA70DA">
        <w:rPr>
          <w:lang w:eastAsia="en-GB"/>
        </w:rPr>
        <w:t xml:space="preserve">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website.</w:t>
      </w:r>
    </w:p>
    <w:p w14:paraId="4FE37529" w14:textId="6FB9EA7B" w:rsidR="00D73268" w:rsidRDefault="00D73268" w:rsidP="00D73268">
      <w:pPr>
        <w:rPr>
          <w:lang w:eastAsia="en-GB"/>
        </w:rPr>
      </w:pPr>
    </w:p>
    <w:p w14:paraId="4A6567BF" w14:textId="77777777" w:rsidR="00D73268" w:rsidRPr="00CA70DA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A70DA" w14:paraId="36368FE6" w14:textId="77777777" w:rsidTr="003029D0">
        <w:tc>
          <w:tcPr>
            <w:tcW w:w="5000" w:type="pct"/>
          </w:tcPr>
          <w:p w14:paraId="6412899F" w14:textId="33C00EA7" w:rsidR="00D73268" w:rsidRPr="000443E8" w:rsidRDefault="00D73268" w:rsidP="003029D0">
            <w:pPr>
              <w:rPr>
                <w:b/>
                <w:lang w:eastAsia="en-GB"/>
              </w:rPr>
            </w:pPr>
            <w:r w:rsidRPr="000443E8">
              <w:rPr>
                <w:b/>
                <w:lang w:eastAsia="en-GB"/>
              </w:rPr>
              <w:t xml:space="preserve">Please do not submit this document to the IAIS. All responses to the Consultation Document must be made via the </w:t>
            </w:r>
            <w:hyperlink r:id="rId12" w:history="1">
              <w:r w:rsidRPr="00DB2F8B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="00DB2F8B">
              <w:rPr>
                <w:b/>
                <w:lang w:eastAsia="en-GB"/>
              </w:rPr>
              <w:t xml:space="preserve"> </w:t>
            </w:r>
            <w:r w:rsidRPr="000443E8">
              <w:rPr>
                <w:b/>
                <w:lang w:eastAsia="en-GB"/>
              </w:rPr>
              <w:t>to enable those responses to be considered.</w:t>
            </w:r>
          </w:p>
        </w:tc>
      </w:tr>
    </w:tbl>
    <w:p w14:paraId="663B3D0C" w14:textId="77777777" w:rsidR="00D73268" w:rsidRDefault="00D73268" w:rsidP="00D73268">
      <w:pPr>
        <w:rPr>
          <w:lang w:val="en-US"/>
        </w:rPr>
      </w:pPr>
    </w:p>
    <w:p w14:paraId="2BE4AC20" w14:textId="77777777" w:rsidR="00D73268" w:rsidRPr="00D73268" w:rsidRDefault="00D73268" w:rsidP="00D73268">
      <w:pPr>
        <w:rPr>
          <w:lang w:eastAsia="en-GB"/>
        </w:rPr>
      </w:pPr>
    </w:p>
    <w:p w14:paraId="46AFF8E1" w14:textId="3D84EE06" w:rsidR="00D73268" w:rsidRDefault="00D73268">
      <w:pPr>
        <w:suppressAutoHyphens w:val="0"/>
        <w:spacing w:after="160" w:line="259" w:lineRule="auto"/>
        <w:jc w:val="left"/>
      </w:pPr>
      <w:r>
        <w:br w:type="page"/>
      </w:r>
    </w:p>
    <w:p w14:paraId="170E42F3" w14:textId="37FB81D1" w:rsidR="009D2E6F" w:rsidRDefault="009D2E6F" w:rsidP="005C4629">
      <w:pPr>
        <w:pStyle w:val="IAISContentoverviewtitle"/>
      </w:pPr>
      <w:r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0E391E" w:rsidRPr="00CD7BDF" w14:paraId="28531C3C" w14:textId="77777777" w:rsidTr="000E391E">
        <w:trPr>
          <w:trHeight w:val="290"/>
        </w:trPr>
        <w:tc>
          <w:tcPr>
            <w:tcW w:w="9360" w:type="dxa"/>
            <w:gridSpan w:val="2"/>
            <w:shd w:val="clear" w:color="auto" w:fill="D4EDF9" w:themeFill="accent1" w:themeFillTint="33"/>
            <w:noWrap/>
          </w:tcPr>
          <w:p w14:paraId="5AEF45BC" w14:textId="4F3C78EA" w:rsidR="000E391E" w:rsidRPr="000E391E" w:rsidRDefault="000E391E" w:rsidP="000E391E">
            <w:pPr>
              <w:suppressAutoHyphens w:val="0"/>
              <w:spacing w:beforeLines="20" w:before="48" w:afterLines="20" w:after="48" w:line="240" w:lineRule="auto"/>
              <w:jc w:val="left"/>
              <w:rPr>
                <w:b/>
                <w:bCs/>
              </w:rPr>
            </w:pPr>
            <w:r w:rsidRPr="000E391E">
              <w:rPr>
                <w:b/>
                <w:bCs/>
              </w:rPr>
              <w:t>ICP 15 (Investments)</w:t>
            </w:r>
            <w:r w:rsidR="00C02E98">
              <w:rPr>
                <w:b/>
                <w:bCs/>
              </w:rPr>
              <w:t xml:space="preserve"> guidance material</w:t>
            </w:r>
          </w:p>
        </w:tc>
      </w:tr>
      <w:tr w:rsidR="007717E0" w:rsidRPr="00CD7BDF" w14:paraId="159A7BD6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2DD4D5A6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</w:t>
            </w:r>
          </w:p>
        </w:tc>
        <w:tc>
          <w:tcPr>
            <w:tcW w:w="8663" w:type="dxa"/>
          </w:tcPr>
          <w:p w14:paraId="5914FF7E" w14:textId="6FE1E753" w:rsidR="007717E0" w:rsidRPr="00CD7BDF" w:rsidRDefault="00B345C9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General comments on the </w:t>
            </w:r>
            <w:r w:rsidR="00555D9C" w:rsidRPr="00555D9C">
              <w:rPr>
                <w:sz w:val="22"/>
                <w:szCs w:val="22"/>
              </w:rPr>
              <w:t xml:space="preserve">proposed changes to reflect climate risk in ICP </w:t>
            </w:r>
            <w:r w:rsidR="00555D9C">
              <w:rPr>
                <w:sz w:val="22"/>
                <w:szCs w:val="22"/>
              </w:rPr>
              <w:t xml:space="preserve">15 (Investments) </w:t>
            </w:r>
            <w:r w:rsidR="00555D9C" w:rsidRPr="00555D9C">
              <w:rPr>
                <w:sz w:val="22"/>
                <w:szCs w:val="22"/>
              </w:rPr>
              <w:t>guidance material</w:t>
            </w:r>
          </w:p>
        </w:tc>
      </w:tr>
      <w:tr w:rsidR="007717E0" w:rsidRPr="00CD7BDF" w14:paraId="39C4EBBF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628D8C45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2</w:t>
            </w:r>
          </w:p>
        </w:tc>
        <w:tc>
          <w:tcPr>
            <w:tcW w:w="8663" w:type="dxa"/>
          </w:tcPr>
          <w:p w14:paraId="6B4B1080" w14:textId="0A9C18F2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 w:rsidR="00555D9C">
              <w:rPr>
                <w:sz w:val="22"/>
                <w:szCs w:val="22"/>
              </w:rPr>
              <w:t>proposed changes to ICP guidance 15.2.3</w:t>
            </w:r>
          </w:p>
        </w:tc>
      </w:tr>
      <w:tr w:rsidR="007717E0" w:rsidRPr="00CD7BDF" w14:paraId="56806599" w14:textId="77777777" w:rsidTr="002A1719">
        <w:trPr>
          <w:trHeight w:val="90"/>
        </w:trPr>
        <w:tc>
          <w:tcPr>
            <w:tcW w:w="697" w:type="dxa"/>
            <w:noWrap/>
            <w:hideMark/>
          </w:tcPr>
          <w:p w14:paraId="5294D1EE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contextualSpacing/>
              <w:jc w:val="left"/>
            </w:pPr>
            <w:r w:rsidRPr="00CD7BDF">
              <w:t>3</w:t>
            </w:r>
          </w:p>
        </w:tc>
        <w:tc>
          <w:tcPr>
            <w:tcW w:w="8663" w:type="dxa"/>
          </w:tcPr>
          <w:p w14:paraId="3246859B" w14:textId="4BF3B3E6" w:rsidR="007717E0" w:rsidRPr="00CD7BDF" w:rsidRDefault="00CE6B7B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CE6B7B">
              <w:rPr>
                <w:sz w:val="22"/>
                <w:szCs w:val="22"/>
              </w:rPr>
              <w:t>Comments on new ICP guidance 15.2.6</w:t>
            </w:r>
          </w:p>
        </w:tc>
      </w:tr>
      <w:tr w:rsidR="007717E0" w:rsidRPr="00CD7BDF" w14:paraId="0FD0C690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16C673B4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4</w:t>
            </w:r>
          </w:p>
        </w:tc>
        <w:tc>
          <w:tcPr>
            <w:tcW w:w="8663" w:type="dxa"/>
          </w:tcPr>
          <w:p w14:paraId="5651810D" w14:textId="4B4E1538" w:rsidR="007717E0" w:rsidRPr="00CD7BDF" w:rsidRDefault="00555D9C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15.3.1</w:t>
            </w:r>
          </w:p>
        </w:tc>
      </w:tr>
      <w:tr w:rsidR="007717E0" w:rsidRPr="00CD7BDF" w14:paraId="27C649E3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575E38EF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5</w:t>
            </w:r>
          </w:p>
        </w:tc>
        <w:tc>
          <w:tcPr>
            <w:tcW w:w="8663" w:type="dxa"/>
          </w:tcPr>
          <w:p w14:paraId="54BB129F" w14:textId="0D90DE70" w:rsidR="007717E0" w:rsidRPr="00CD7BDF" w:rsidRDefault="00555D9C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15.4.1</w:t>
            </w:r>
          </w:p>
        </w:tc>
      </w:tr>
      <w:tr w:rsidR="007717E0" w:rsidRPr="00CD7BDF" w14:paraId="29271329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D0D410F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6</w:t>
            </w:r>
          </w:p>
        </w:tc>
        <w:tc>
          <w:tcPr>
            <w:tcW w:w="8663" w:type="dxa"/>
          </w:tcPr>
          <w:p w14:paraId="0085D41D" w14:textId="09B2210B" w:rsidR="007717E0" w:rsidRPr="00CD7BDF" w:rsidRDefault="00555D9C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15.4.2</w:t>
            </w:r>
          </w:p>
        </w:tc>
      </w:tr>
      <w:tr w:rsidR="000E391E" w:rsidRPr="00CD7BDF" w14:paraId="619C9AB2" w14:textId="77777777" w:rsidTr="007D50D8">
        <w:trPr>
          <w:trHeight w:val="290"/>
        </w:trPr>
        <w:tc>
          <w:tcPr>
            <w:tcW w:w="9360" w:type="dxa"/>
            <w:gridSpan w:val="2"/>
            <w:shd w:val="clear" w:color="auto" w:fill="D4EDF9" w:themeFill="accent1" w:themeFillTint="33"/>
            <w:noWrap/>
          </w:tcPr>
          <w:p w14:paraId="2F1C0946" w14:textId="26601DCD" w:rsidR="000E391E" w:rsidRDefault="000E391E" w:rsidP="000E391E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0E391E">
              <w:rPr>
                <w:b/>
                <w:bCs/>
              </w:rPr>
              <w:t>ICP 1</w:t>
            </w:r>
            <w:r w:rsidR="007D50D8">
              <w:rPr>
                <w:b/>
                <w:bCs/>
              </w:rPr>
              <w:t>6</w:t>
            </w:r>
            <w:r w:rsidRPr="000E391E">
              <w:rPr>
                <w:b/>
                <w:bCs/>
              </w:rPr>
              <w:t xml:space="preserve"> (</w:t>
            </w:r>
            <w:r w:rsidR="007D50D8" w:rsidRPr="007D50D8">
              <w:rPr>
                <w:b/>
                <w:bCs/>
              </w:rPr>
              <w:t>Enterprise Risk Management for Solvency Purposes</w:t>
            </w:r>
            <w:r w:rsidRPr="000E391E">
              <w:rPr>
                <w:b/>
                <w:bCs/>
              </w:rPr>
              <w:t>)</w:t>
            </w:r>
            <w:r w:rsidR="00C02E98">
              <w:rPr>
                <w:b/>
                <w:bCs/>
              </w:rPr>
              <w:t xml:space="preserve"> guidance material</w:t>
            </w:r>
          </w:p>
        </w:tc>
      </w:tr>
      <w:tr w:rsidR="007717E0" w:rsidRPr="00CD7BDF" w14:paraId="0B2A485D" w14:textId="77777777" w:rsidTr="002A1719">
        <w:trPr>
          <w:trHeight w:val="90"/>
        </w:trPr>
        <w:tc>
          <w:tcPr>
            <w:tcW w:w="697" w:type="dxa"/>
            <w:noWrap/>
            <w:hideMark/>
          </w:tcPr>
          <w:p w14:paraId="5B16CF54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7</w:t>
            </w:r>
          </w:p>
        </w:tc>
        <w:tc>
          <w:tcPr>
            <w:tcW w:w="8663" w:type="dxa"/>
          </w:tcPr>
          <w:p w14:paraId="151CC124" w14:textId="33100C22" w:rsidR="007717E0" w:rsidRPr="00CD7BDF" w:rsidRDefault="00555D9C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General comments on the </w:t>
            </w:r>
            <w:r w:rsidRPr="00555D9C">
              <w:rPr>
                <w:sz w:val="22"/>
                <w:szCs w:val="22"/>
              </w:rPr>
              <w:t xml:space="preserve">proposed changes to reflect climate risk in ICP </w:t>
            </w:r>
            <w:r>
              <w:rPr>
                <w:sz w:val="22"/>
                <w:szCs w:val="22"/>
              </w:rPr>
              <w:t>16 (</w:t>
            </w:r>
            <w:r w:rsidRPr="00555D9C">
              <w:rPr>
                <w:sz w:val="22"/>
                <w:szCs w:val="22"/>
              </w:rPr>
              <w:t>Enterprise Risk Management for Solvency Purposes</w:t>
            </w:r>
            <w:r>
              <w:rPr>
                <w:sz w:val="22"/>
                <w:szCs w:val="22"/>
              </w:rPr>
              <w:t xml:space="preserve">) </w:t>
            </w:r>
            <w:r w:rsidRPr="00555D9C">
              <w:rPr>
                <w:sz w:val="22"/>
                <w:szCs w:val="22"/>
              </w:rPr>
              <w:t>guidance material</w:t>
            </w:r>
          </w:p>
        </w:tc>
      </w:tr>
      <w:tr w:rsidR="007717E0" w:rsidRPr="00CD7BDF" w14:paraId="0FB3DA45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026D9CB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8</w:t>
            </w:r>
          </w:p>
        </w:tc>
        <w:tc>
          <w:tcPr>
            <w:tcW w:w="8663" w:type="dxa"/>
          </w:tcPr>
          <w:p w14:paraId="1D7E41ED" w14:textId="31A553B7" w:rsidR="007717E0" w:rsidRPr="00CD7BDF" w:rsidRDefault="00555D9C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16.1.1</w:t>
            </w:r>
          </w:p>
        </w:tc>
      </w:tr>
      <w:tr w:rsidR="007717E0" w:rsidRPr="00CD7BDF" w14:paraId="369409E2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01C95340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9</w:t>
            </w:r>
          </w:p>
        </w:tc>
        <w:tc>
          <w:tcPr>
            <w:tcW w:w="8663" w:type="dxa"/>
          </w:tcPr>
          <w:p w14:paraId="238B6AFC" w14:textId="5067CA8F" w:rsidR="007717E0" w:rsidRPr="00CD7BDF" w:rsidRDefault="00555D9C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16.1.3</w:t>
            </w:r>
          </w:p>
        </w:tc>
      </w:tr>
      <w:tr w:rsidR="007717E0" w:rsidRPr="00CD7BDF" w14:paraId="2E1342C6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684C06C1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10</w:t>
            </w:r>
          </w:p>
        </w:tc>
        <w:tc>
          <w:tcPr>
            <w:tcW w:w="8663" w:type="dxa"/>
          </w:tcPr>
          <w:p w14:paraId="47AC0A48" w14:textId="274512D4" w:rsidR="007717E0" w:rsidRPr="00CD7BDF" w:rsidRDefault="00555D9C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16.1.6</w:t>
            </w:r>
          </w:p>
        </w:tc>
      </w:tr>
      <w:tr w:rsidR="007717E0" w:rsidRPr="00CD7BDF" w14:paraId="629858DC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33F57EDF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11</w:t>
            </w:r>
          </w:p>
        </w:tc>
        <w:tc>
          <w:tcPr>
            <w:tcW w:w="8663" w:type="dxa"/>
          </w:tcPr>
          <w:p w14:paraId="6C10FBCA" w14:textId="6D0FF225" w:rsidR="007717E0" w:rsidRPr="00CD7BDF" w:rsidRDefault="00555D9C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16.2.2</w:t>
            </w:r>
          </w:p>
        </w:tc>
      </w:tr>
      <w:tr w:rsidR="007717E0" w:rsidRPr="00CD7BDF" w14:paraId="27D93166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0995E018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12</w:t>
            </w:r>
          </w:p>
        </w:tc>
        <w:tc>
          <w:tcPr>
            <w:tcW w:w="8663" w:type="dxa"/>
          </w:tcPr>
          <w:p w14:paraId="55C2A8F9" w14:textId="2734E421" w:rsidR="007717E0" w:rsidRPr="00CD7BDF" w:rsidRDefault="00555D9C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16.2.16</w:t>
            </w:r>
          </w:p>
        </w:tc>
      </w:tr>
      <w:tr w:rsidR="007717E0" w:rsidRPr="00555D9C" w14:paraId="29C6D4A7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5248E0D5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13</w:t>
            </w:r>
          </w:p>
        </w:tc>
        <w:tc>
          <w:tcPr>
            <w:tcW w:w="8663" w:type="dxa"/>
          </w:tcPr>
          <w:p w14:paraId="50E62FDB" w14:textId="64D1B0D7" w:rsidR="007717E0" w:rsidRPr="00555D9C" w:rsidRDefault="00555D9C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16.2.19</w:t>
            </w:r>
          </w:p>
        </w:tc>
      </w:tr>
      <w:tr w:rsidR="007717E0" w:rsidRPr="00CD7BDF" w14:paraId="7569AFD0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4BD8DA51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14</w:t>
            </w:r>
          </w:p>
        </w:tc>
        <w:tc>
          <w:tcPr>
            <w:tcW w:w="8663" w:type="dxa"/>
          </w:tcPr>
          <w:p w14:paraId="593C327C" w14:textId="3B1B9427" w:rsidR="007717E0" w:rsidRPr="00CD7BDF" w:rsidRDefault="000E391E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16.6.6</w:t>
            </w:r>
          </w:p>
        </w:tc>
      </w:tr>
      <w:tr w:rsidR="007717E0" w:rsidRPr="00CD7BDF" w14:paraId="38FF6E28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28AA68F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15</w:t>
            </w:r>
          </w:p>
        </w:tc>
        <w:tc>
          <w:tcPr>
            <w:tcW w:w="8663" w:type="dxa"/>
          </w:tcPr>
          <w:p w14:paraId="4C24C0A6" w14:textId="0E012028" w:rsidR="007717E0" w:rsidRPr="00CD7BDF" w:rsidRDefault="000E391E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16.12.1</w:t>
            </w:r>
          </w:p>
        </w:tc>
      </w:tr>
      <w:tr w:rsidR="007717E0" w:rsidRPr="00CD7BDF" w14:paraId="636465E1" w14:textId="77777777" w:rsidTr="002A1719">
        <w:trPr>
          <w:trHeight w:val="90"/>
        </w:trPr>
        <w:tc>
          <w:tcPr>
            <w:tcW w:w="697" w:type="dxa"/>
            <w:noWrap/>
            <w:hideMark/>
          </w:tcPr>
          <w:p w14:paraId="3A31C3CE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16</w:t>
            </w:r>
          </w:p>
        </w:tc>
        <w:tc>
          <w:tcPr>
            <w:tcW w:w="8663" w:type="dxa"/>
          </w:tcPr>
          <w:p w14:paraId="2231966C" w14:textId="1FBB78FA" w:rsidR="007717E0" w:rsidRPr="00CD7BDF" w:rsidRDefault="000E391E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ICP guidance 16.16.9</w:t>
            </w:r>
          </w:p>
        </w:tc>
      </w:tr>
      <w:tr w:rsidR="007D50D8" w:rsidRPr="00CD7BDF" w14:paraId="2EF1B476" w14:textId="77777777" w:rsidTr="007D50D8">
        <w:trPr>
          <w:trHeight w:val="90"/>
        </w:trPr>
        <w:tc>
          <w:tcPr>
            <w:tcW w:w="9360" w:type="dxa"/>
            <w:gridSpan w:val="2"/>
            <w:shd w:val="clear" w:color="auto" w:fill="D4EDF9" w:themeFill="accent1" w:themeFillTint="33"/>
            <w:noWrap/>
          </w:tcPr>
          <w:p w14:paraId="35D10676" w14:textId="6F2E3808" w:rsidR="007D50D8" w:rsidRDefault="007D50D8" w:rsidP="007D50D8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0E391E">
              <w:rPr>
                <w:b/>
                <w:bCs/>
              </w:rPr>
              <w:t xml:space="preserve">ICP </w:t>
            </w:r>
            <w:r>
              <w:rPr>
                <w:b/>
                <w:bCs/>
              </w:rPr>
              <w:t>7</w:t>
            </w:r>
            <w:r w:rsidRPr="000E391E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Corporate Governance</w:t>
            </w:r>
            <w:r w:rsidRPr="000E391E">
              <w:rPr>
                <w:b/>
                <w:bCs/>
              </w:rPr>
              <w:t>)</w:t>
            </w:r>
            <w:r w:rsidR="00C02E98">
              <w:rPr>
                <w:b/>
                <w:bCs/>
              </w:rPr>
              <w:t xml:space="preserve"> supporting material</w:t>
            </w:r>
          </w:p>
        </w:tc>
      </w:tr>
      <w:tr w:rsidR="007717E0" w:rsidRPr="00CD7BDF" w14:paraId="5444ED25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1DA54EDE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17</w:t>
            </w:r>
          </w:p>
        </w:tc>
        <w:tc>
          <w:tcPr>
            <w:tcW w:w="8663" w:type="dxa"/>
          </w:tcPr>
          <w:p w14:paraId="69CF643A" w14:textId="47026DDD" w:rsidR="007717E0" w:rsidRPr="00CD7BDF" w:rsidRDefault="000E391E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General comments on the </w:t>
            </w:r>
            <w:r w:rsidRPr="00555D9C">
              <w:rPr>
                <w:sz w:val="22"/>
                <w:szCs w:val="22"/>
              </w:rPr>
              <w:t xml:space="preserve">proposed changes </w:t>
            </w:r>
            <w:r w:rsidRPr="000E391E">
              <w:rPr>
                <w:sz w:val="22"/>
                <w:szCs w:val="22"/>
              </w:rPr>
              <w:t xml:space="preserve">to </w:t>
            </w:r>
            <w:r w:rsidRPr="00555D9C">
              <w:rPr>
                <w:sz w:val="22"/>
                <w:szCs w:val="22"/>
              </w:rPr>
              <w:t xml:space="preserve">reflect climate risk in </w:t>
            </w:r>
            <w:r w:rsidRPr="000E391E">
              <w:rPr>
                <w:sz w:val="22"/>
                <w:szCs w:val="22"/>
              </w:rPr>
              <w:t xml:space="preserve">existing supporting material related to </w:t>
            </w:r>
            <w:r>
              <w:rPr>
                <w:sz w:val="22"/>
                <w:szCs w:val="22"/>
              </w:rPr>
              <w:t>ICP 7 (C</w:t>
            </w:r>
            <w:r w:rsidRPr="000E391E">
              <w:rPr>
                <w:sz w:val="22"/>
                <w:szCs w:val="22"/>
              </w:rPr>
              <w:t xml:space="preserve">orporate </w:t>
            </w:r>
            <w:r>
              <w:rPr>
                <w:sz w:val="22"/>
                <w:szCs w:val="22"/>
              </w:rPr>
              <w:t>G</w:t>
            </w:r>
            <w:r w:rsidRPr="000E391E">
              <w:rPr>
                <w:sz w:val="22"/>
                <w:szCs w:val="22"/>
              </w:rPr>
              <w:t>overnance</w:t>
            </w:r>
            <w:r>
              <w:rPr>
                <w:sz w:val="22"/>
                <w:szCs w:val="22"/>
              </w:rPr>
              <w:t xml:space="preserve">) </w:t>
            </w:r>
          </w:p>
        </w:tc>
      </w:tr>
      <w:tr w:rsidR="007717E0" w:rsidRPr="00CD7BDF" w14:paraId="625A24C0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34A89BE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18</w:t>
            </w:r>
          </w:p>
        </w:tc>
        <w:tc>
          <w:tcPr>
            <w:tcW w:w="8663" w:type="dxa"/>
          </w:tcPr>
          <w:p w14:paraId="0D932E0B" w14:textId="75D72481" w:rsidR="007717E0" w:rsidRPr="00CD7BDF" w:rsidRDefault="000E391E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section 3.3 (The role of the Board)</w:t>
            </w:r>
          </w:p>
        </w:tc>
      </w:tr>
      <w:tr w:rsidR="007717E0" w:rsidRPr="00CD7BDF" w14:paraId="336A0A8D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3740C1E7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19</w:t>
            </w:r>
          </w:p>
        </w:tc>
        <w:tc>
          <w:tcPr>
            <w:tcW w:w="8663" w:type="dxa"/>
          </w:tcPr>
          <w:p w14:paraId="4A5B80D3" w14:textId="5C532B7F" w:rsidR="007717E0" w:rsidRPr="00CD7BDF" w:rsidRDefault="000E391E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section 3.5 (Duties related to remuneration)</w:t>
            </w:r>
          </w:p>
        </w:tc>
      </w:tr>
      <w:tr w:rsidR="007D50D8" w:rsidRPr="00CD7BDF" w14:paraId="22086299" w14:textId="77777777" w:rsidTr="007D50D8">
        <w:trPr>
          <w:trHeight w:val="290"/>
        </w:trPr>
        <w:tc>
          <w:tcPr>
            <w:tcW w:w="9360" w:type="dxa"/>
            <w:gridSpan w:val="2"/>
            <w:shd w:val="clear" w:color="auto" w:fill="D4EDF9" w:themeFill="accent1" w:themeFillTint="33"/>
            <w:noWrap/>
          </w:tcPr>
          <w:p w14:paraId="69EF727F" w14:textId="5D9F4003" w:rsidR="007D50D8" w:rsidRDefault="007D50D8" w:rsidP="007D50D8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7D50D8">
              <w:rPr>
                <w:b/>
                <w:bCs/>
              </w:rPr>
              <w:t xml:space="preserve">ICP </w:t>
            </w:r>
            <w:r>
              <w:rPr>
                <w:b/>
                <w:bCs/>
              </w:rPr>
              <w:t>8</w:t>
            </w:r>
            <w:r w:rsidRPr="007D50D8">
              <w:rPr>
                <w:b/>
                <w:bCs/>
              </w:rPr>
              <w:t xml:space="preserve"> (Risk Management and Internal Controls)</w:t>
            </w:r>
            <w:r w:rsidR="00C02E98">
              <w:rPr>
                <w:b/>
                <w:bCs/>
              </w:rPr>
              <w:t xml:space="preserve"> supporting material</w:t>
            </w:r>
          </w:p>
        </w:tc>
      </w:tr>
      <w:tr w:rsidR="007717E0" w:rsidRPr="00CD7BDF" w14:paraId="741306ED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06238C48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20</w:t>
            </w:r>
          </w:p>
        </w:tc>
        <w:tc>
          <w:tcPr>
            <w:tcW w:w="8663" w:type="dxa"/>
          </w:tcPr>
          <w:p w14:paraId="1CC95D75" w14:textId="021B74EC" w:rsidR="007717E0" w:rsidRPr="00CD7BDF" w:rsidRDefault="000E391E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General comments on the </w:t>
            </w:r>
            <w:r w:rsidRPr="00555D9C">
              <w:rPr>
                <w:sz w:val="22"/>
                <w:szCs w:val="22"/>
              </w:rPr>
              <w:t xml:space="preserve">proposed changes </w:t>
            </w:r>
            <w:r w:rsidRPr="000E391E">
              <w:rPr>
                <w:sz w:val="22"/>
                <w:szCs w:val="22"/>
              </w:rPr>
              <w:t xml:space="preserve">to </w:t>
            </w:r>
            <w:r w:rsidRPr="00555D9C">
              <w:rPr>
                <w:sz w:val="22"/>
                <w:szCs w:val="22"/>
              </w:rPr>
              <w:t xml:space="preserve">reflect climate risk in </w:t>
            </w:r>
            <w:r w:rsidRPr="000E391E">
              <w:rPr>
                <w:sz w:val="22"/>
                <w:szCs w:val="22"/>
              </w:rPr>
              <w:t xml:space="preserve">existing supporting material related to </w:t>
            </w:r>
            <w:r>
              <w:rPr>
                <w:sz w:val="22"/>
                <w:szCs w:val="22"/>
              </w:rPr>
              <w:t>ICP 8 (</w:t>
            </w:r>
            <w:r w:rsidRPr="000E391E">
              <w:rPr>
                <w:sz w:val="22"/>
                <w:szCs w:val="22"/>
              </w:rPr>
              <w:t>Risk Management and Internal Controls</w:t>
            </w:r>
            <w:r>
              <w:rPr>
                <w:sz w:val="22"/>
                <w:szCs w:val="22"/>
              </w:rPr>
              <w:t>)</w:t>
            </w:r>
          </w:p>
        </w:tc>
      </w:tr>
      <w:tr w:rsidR="000E391E" w:rsidRPr="00CD7BDF" w14:paraId="140D0AB9" w14:textId="77777777" w:rsidTr="002A1719">
        <w:trPr>
          <w:trHeight w:val="290"/>
        </w:trPr>
        <w:tc>
          <w:tcPr>
            <w:tcW w:w="697" w:type="dxa"/>
            <w:noWrap/>
          </w:tcPr>
          <w:p w14:paraId="5AB38F4E" w14:textId="1ECB2353" w:rsidR="000E391E" w:rsidRPr="00CD7BDF" w:rsidRDefault="000E391E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</w:t>
            </w:r>
            <w:r w:rsidR="00776CB3">
              <w:t>1</w:t>
            </w:r>
          </w:p>
        </w:tc>
        <w:tc>
          <w:tcPr>
            <w:tcW w:w="8663" w:type="dxa"/>
          </w:tcPr>
          <w:p w14:paraId="358D9800" w14:textId="465C4CAD" w:rsidR="000E391E" w:rsidRPr="000E391E" w:rsidRDefault="000E391E" w:rsidP="000E391E">
            <w:pPr>
              <w:pStyle w:val="Default"/>
              <w:spacing w:beforeLines="20" w:before="48" w:afterLines="20" w:after="48"/>
              <w:ind w:left="31"/>
              <w:rPr>
                <w:b/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proposed changes to section 4.1 (</w:t>
            </w:r>
            <w:bookmarkStart w:id="0" w:name="_Toc41405141"/>
            <w:bookmarkStart w:id="1" w:name="_Toc42262970"/>
            <w:bookmarkStart w:id="2" w:name="_Toc61873800"/>
            <w:bookmarkStart w:id="3" w:name="_Toc63426345"/>
            <w:bookmarkStart w:id="4" w:name="_Toc72505511"/>
            <w:bookmarkStart w:id="5" w:name="_Toc72506726"/>
            <w:bookmarkStart w:id="6" w:name="_Toc149146656"/>
            <w:bookmarkStart w:id="7" w:name="_Ref150951289"/>
            <w:bookmarkStart w:id="8" w:name="_Ref150951306"/>
            <w:r w:rsidRPr="000E391E">
              <w:rPr>
                <w:sz w:val="22"/>
                <w:szCs w:val="22"/>
              </w:rPr>
              <w:t>Integrating climate-related risks into the scope of the risk management system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0E391E">
              <w:rPr>
                <w:sz w:val="22"/>
                <w:szCs w:val="22"/>
              </w:rPr>
              <w:t>)</w:t>
            </w:r>
          </w:p>
        </w:tc>
      </w:tr>
      <w:tr w:rsidR="007D50D8" w:rsidRPr="00CD7BDF" w14:paraId="1DCEC627" w14:textId="77777777" w:rsidTr="007D50D8">
        <w:trPr>
          <w:trHeight w:val="290"/>
        </w:trPr>
        <w:tc>
          <w:tcPr>
            <w:tcW w:w="9360" w:type="dxa"/>
            <w:gridSpan w:val="2"/>
            <w:shd w:val="clear" w:color="auto" w:fill="D4EDF9" w:themeFill="accent1" w:themeFillTint="33"/>
            <w:noWrap/>
          </w:tcPr>
          <w:p w14:paraId="68F1C2E5" w14:textId="23CDAB6D" w:rsidR="007D50D8" w:rsidRPr="00B345C9" w:rsidRDefault="007D50D8" w:rsidP="007D50D8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7D50D8">
              <w:rPr>
                <w:b/>
                <w:bCs/>
              </w:rPr>
              <w:t xml:space="preserve">ICP </w:t>
            </w:r>
            <w:r>
              <w:rPr>
                <w:b/>
                <w:bCs/>
              </w:rPr>
              <w:t>14</w:t>
            </w:r>
            <w:r w:rsidRPr="007D50D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Valuation</w:t>
            </w:r>
            <w:r w:rsidRPr="007D50D8">
              <w:rPr>
                <w:b/>
                <w:bCs/>
              </w:rPr>
              <w:t>)</w:t>
            </w:r>
            <w:r w:rsidR="00C02E98">
              <w:rPr>
                <w:b/>
                <w:bCs/>
              </w:rPr>
              <w:t xml:space="preserve"> supporting material</w:t>
            </w:r>
          </w:p>
        </w:tc>
      </w:tr>
      <w:tr w:rsidR="000E391E" w:rsidRPr="00CD7BDF" w14:paraId="17DDB3A4" w14:textId="77777777" w:rsidTr="002A1719">
        <w:trPr>
          <w:trHeight w:val="290"/>
        </w:trPr>
        <w:tc>
          <w:tcPr>
            <w:tcW w:w="697" w:type="dxa"/>
            <w:noWrap/>
          </w:tcPr>
          <w:p w14:paraId="4BA3561B" w14:textId="6B43C8A2" w:rsidR="000E391E" w:rsidRDefault="000E391E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</w:t>
            </w:r>
            <w:r w:rsidR="00C42A25">
              <w:t>2</w:t>
            </w:r>
          </w:p>
        </w:tc>
        <w:tc>
          <w:tcPr>
            <w:tcW w:w="8663" w:type="dxa"/>
          </w:tcPr>
          <w:p w14:paraId="542B3003" w14:textId="7E6C75FD" w:rsidR="000E391E" w:rsidRDefault="007D50D8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General comments on the </w:t>
            </w:r>
            <w:r w:rsidRPr="00555D9C">
              <w:rPr>
                <w:sz w:val="22"/>
                <w:szCs w:val="22"/>
              </w:rPr>
              <w:t xml:space="preserve">proposed </w:t>
            </w:r>
            <w:r>
              <w:rPr>
                <w:sz w:val="22"/>
                <w:szCs w:val="22"/>
              </w:rPr>
              <w:t>additions</w:t>
            </w:r>
            <w:r w:rsidRPr="00555D9C">
              <w:rPr>
                <w:sz w:val="22"/>
                <w:szCs w:val="22"/>
              </w:rPr>
              <w:t xml:space="preserve"> </w:t>
            </w:r>
            <w:r w:rsidRPr="000E391E">
              <w:rPr>
                <w:sz w:val="22"/>
                <w:szCs w:val="22"/>
              </w:rPr>
              <w:t xml:space="preserve">to </w:t>
            </w:r>
            <w:r w:rsidRPr="00555D9C">
              <w:rPr>
                <w:sz w:val="22"/>
                <w:szCs w:val="22"/>
              </w:rPr>
              <w:t xml:space="preserve">reflect climate risk in </w:t>
            </w:r>
            <w:r w:rsidRPr="000E391E">
              <w:rPr>
                <w:sz w:val="22"/>
                <w:szCs w:val="22"/>
              </w:rPr>
              <w:t xml:space="preserve">existing supporting material related to </w:t>
            </w:r>
            <w:r>
              <w:rPr>
                <w:sz w:val="22"/>
                <w:szCs w:val="22"/>
              </w:rPr>
              <w:t>ICP 14 (Valuation)</w:t>
            </w:r>
          </w:p>
        </w:tc>
      </w:tr>
      <w:tr w:rsidR="000E391E" w:rsidRPr="00CD7BDF" w14:paraId="71C62A2D" w14:textId="77777777" w:rsidTr="002A1719">
        <w:trPr>
          <w:trHeight w:val="290"/>
        </w:trPr>
        <w:tc>
          <w:tcPr>
            <w:tcW w:w="697" w:type="dxa"/>
            <w:noWrap/>
          </w:tcPr>
          <w:p w14:paraId="43A3C3E3" w14:textId="55DCBC3D" w:rsidR="000E391E" w:rsidRDefault="000E391E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</w:t>
            </w:r>
            <w:r w:rsidR="00C42A25">
              <w:t>3</w:t>
            </w:r>
          </w:p>
        </w:tc>
        <w:tc>
          <w:tcPr>
            <w:tcW w:w="8663" w:type="dxa"/>
          </w:tcPr>
          <w:p w14:paraId="7C9EC3B0" w14:textId="65A8704B" w:rsidR="000E391E" w:rsidRDefault="007D50D8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section on Valuation of assets</w:t>
            </w:r>
          </w:p>
        </w:tc>
      </w:tr>
      <w:tr w:rsidR="000E391E" w:rsidRPr="00CD7BDF" w14:paraId="352EB6E1" w14:textId="77777777" w:rsidTr="002A1719">
        <w:trPr>
          <w:trHeight w:val="290"/>
        </w:trPr>
        <w:tc>
          <w:tcPr>
            <w:tcW w:w="697" w:type="dxa"/>
            <w:noWrap/>
          </w:tcPr>
          <w:p w14:paraId="04463977" w14:textId="3AEF93B9" w:rsidR="000E391E" w:rsidRDefault="000E391E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</w:t>
            </w:r>
            <w:r w:rsidR="00C42A25">
              <w:t>4</w:t>
            </w:r>
          </w:p>
        </w:tc>
        <w:tc>
          <w:tcPr>
            <w:tcW w:w="8663" w:type="dxa"/>
          </w:tcPr>
          <w:p w14:paraId="15172D3A" w14:textId="6B6FBFF6" w:rsidR="000E391E" w:rsidRDefault="007D50D8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section on Impacts on types of valuations</w:t>
            </w:r>
          </w:p>
        </w:tc>
      </w:tr>
      <w:tr w:rsidR="007D50D8" w:rsidRPr="00CD7BDF" w14:paraId="1A66EF7D" w14:textId="77777777" w:rsidTr="002A1719">
        <w:trPr>
          <w:trHeight w:val="290"/>
        </w:trPr>
        <w:tc>
          <w:tcPr>
            <w:tcW w:w="697" w:type="dxa"/>
            <w:noWrap/>
          </w:tcPr>
          <w:p w14:paraId="75A9A19C" w14:textId="16153CF4" w:rsidR="007D50D8" w:rsidRDefault="007D50D8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</w:t>
            </w:r>
            <w:r w:rsidR="00C42A25">
              <w:t>5</w:t>
            </w:r>
          </w:p>
        </w:tc>
        <w:tc>
          <w:tcPr>
            <w:tcW w:w="8663" w:type="dxa"/>
          </w:tcPr>
          <w:p w14:paraId="07A9DBEE" w14:textId="4C94BBA4" w:rsidR="007D50D8" w:rsidRPr="007D50D8" w:rsidRDefault="007D50D8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section on Time horizons of the investment</w:t>
            </w:r>
          </w:p>
        </w:tc>
      </w:tr>
      <w:tr w:rsidR="007D50D8" w:rsidRPr="00CD7BDF" w14:paraId="2E357BD9" w14:textId="77777777" w:rsidTr="002A1719">
        <w:trPr>
          <w:trHeight w:val="290"/>
        </w:trPr>
        <w:tc>
          <w:tcPr>
            <w:tcW w:w="697" w:type="dxa"/>
            <w:noWrap/>
          </w:tcPr>
          <w:p w14:paraId="6BA0DBE6" w14:textId="58CDF467" w:rsidR="007D50D8" w:rsidRDefault="00C42A25" w:rsidP="007D50D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lastRenderedPageBreak/>
              <w:t>26</w:t>
            </w:r>
          </w:p>
        </w:tc>
        <w:tc>
          <w:tcPr>
            <w:tcW w:w="8663" w:type="dxa"/>
          </w:tcPr>
          <w:p w14:paraId="15210124" w14:textId="3F783950" w:rsidR="007D50D8" w:rsidRDefault="007D50D8" w:rsidP="007D50D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section on Valuation of liabilities</w:t>
            </w:r>
          </w:p>
        </w:tc>
      </w:tr>
      <w:tr w:rsidR="007D50D8" w:rsidRPr="00CD7BDF" w14:paraId="03BB320A" w14:textId="77777777" w:rsidTr="007D50D8">
        <w:trPr>
          <w:trHeight w:val="290"/>
        </w:trPr>
        <w:tc>
          <w:tcPr>
            <w:tcW w:w="9360" w:type="dxa"/>
            <w:gridSpan w:val="2"/>
            <w:shd w:val="clear" w:color="auto" w:fill="D4EDF9" w:themeFill="accent1" w:themeFillTint="33"/>
            <w:noWrap/>
          </w:tcPr>
          <w:p w14:paraId="6965DC24" w14:textId="3B068FB7" w:rsidR="007D50D8" w:rsidRPr="007D50D8" w:rsidRDefault="007D50D8" w:rsidP="007D50D8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7D50D8">
              <w:rPr>
                <w:b/>
                <w:bCs/>
              </w:rPr>
              <w:t xml:space="preserve">ICP </w:t>
            </w:r>
            <w:r>
              <w:rPr>
                <w:b/>
                <w:bCs/>
              </w:rPr>
              <w:t>15</w:t>
            </w:r>
            <w:r w:rsidRPr="007D50D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Investments</w:t>
            </w:r>
            <w:r w:rsidRPr="007D50D8">
              <w:rPr>
                <w:b/>
                <w:bCs/>
              </w:rPr>
              <w:t>)</w:t>
            </w:r>
            <w:r w:rsidR="00C02E98">
              <w:rPr>
                <w:b/>
                <w:bCs/>
              </w:rPr>
              <w:t xml:space="preserve"> supporting material</w:t>
            </w:r>
          </w:p>
        </w:tc>
      </w:tr>
      <w:tr w:rsidR="007D50D8" w:rsidRPr="00CD7BDF" w14:paraId="5A52380D" w14:textId="77777777" w:rsidTr="002A1719">
        <w:trPr>
          <w:trHeight w:val="290"/>
        </w:trPr>
        <w:tc>
          <w:tcPr>
            <w:tcW w:w="697" w:type="dxa"/>
            <w:noWrap/>
          </w:tcPr>
          <w:p w14:paraId="3AA80FE7" w14:textId="72BB5710" w:rsidR="007D50D8" w:rsidRDefault="00C42A25" w:rsidP="007D50D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27</w:t>
            </w:r>
          </w:p>
        </w:tc>
        <w:tc>
          <w:tcPr>
            <w:tcW w:w="8663" w:type="dxa"/>
          </w:tcPr>
          <w:p w14:paraId="5C76F2EC" w14:textId="2B622447" w:rsidR="007D50D8" w:rsidRDefault="000B2079" w:rsidP="007D50D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General comments on the </w:t>
            </w:r>
            <w:r w:rsidRPr="00555D9C">
              <w:rPr>
                <w:sz w:val="22"/>
                <w:szCs w:val="22"/>
              </w:rPr>
              <w:t xml:space="preserve">proposed </w:t>
            </w:r>
            <w:r>
              <w:rPr>
                <w:sz w:val="22"/>
                <w:szCs w:val="22"/>
              </w:rPr>
              <w:t>additions</w:t>
            </w:r>
            <w:r w:rsidRPr="00555D9C">
              <w:rPr>
                <w:sz w:val="22"/>
                <w:szCs w:val="22"/>
              </w:rPr>
              <w:t xml:space="preserve"> </w:t>
            </w:r>
            <w:r w:rsidRPr="000E391E">
              <w:rPr>
                <w:sz w:val="22"/>
                <w:szCs w:val="22"/>
              </w:rPr>
              <w:t xml:space="preserve">to </w:t>
            </w:r>
            <w:r w:rsidRPr="00555D9C">
              <w:rPr>
                <w:sz w:val="22"/>
                <w:szCs w:val="22"/>
              </w:rPr>
              <w:t xml:space="preserve">reflect climate risk in </w:t>
            </w:r>
            <w:r w:rsidRPr="000E391E">
              <w:rPr>
                <w:sz w:val="22"/>
                <w:szCs w:val="22"/>
              </w:rPr>
              <w:t xml:space="preserve">existing supporting material related </w:t>
            </w:r>
            <w:r w:rsidR="007D50D8" w:rsidRPr="000E391E">
              <w:rPr>
                <w:sz w:val="22"/>
                <w:szCs w:val="22"/>
              </w:rPr>
              <w:t xml:space="preserve">to </w:t>
            </w:r>
            <w:r w:rsidR="007D50D8">
              <w:rPr>
                <w:sz w:val="22"/>
                <w:szCs w:val="22"/>
              </w:rPr>
              <w:t>ICP 15 (Investments)</w:t>
            </w:r>
          </w:p>
        </w:tc>
      </w:tr>
      <w:tr w:rsidR="007D50D8" w:rsidRPr="00CD7BDF" w14:paraId="65EDB023" w14:textId="77777777" w:rsidTr="002A1719">
        <w:trPr>
          <w:trHeight w:val="290"/>
        </w:trPr>
        <w:tc>
          <w:tcPr>
            <w:tcW w:w="697" w:type="dxa"/>
            <w:noWrap/>
          </w:tcPr>
          <w:p w14:paraId="48CD6607" w14:textId="6459A4D2" w:rsidR="007D50D8" w:rsidRDefault="00C42A25" w:rsidP="007D50D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28</w:t>
            </w:r>
          </w:p>
        </w:tc>
        <w:tc>
          <w:tcPr>
            <w:tcW w:w="8663" w:type="dxa"/>
          </w:tcPr>
          <w:p w14:paraId="0ACFEE17" w14:textId="15C9AB0F" w:rsidR="007D50D8" w:rsidRDefault="00C02E98" w:rsidP="00C02E9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 xml:space="preserve">section on </w:t>
            </w:r>
            <w:r w:rsidRPr="00C02E98">
              <w:rPr>
                <w:sz w:val="22"/>
                <w:szCs w:val="22"/>
              </w:rPr>
              <w:t>Climate change factor for investment requirements</w:t>
            </w:r>
          </w:p>
        </w:tc>
      </w:tr>
      <w:tr w:rsidR="007D50D8" w:rsidRPr="00CD7BDF" w14:paraId="09E90F3F" w14:textId="77777777" w:rsidTr="002A1719">
        <w:trPr>
          <w:trHeight w:val="290"/>
        </w:trPr>
        <w:tc>
          <w:tcPr>
            <w:tcW w:w="697" w:type="dxa"/>
            <w:noWrap/>
          </w:tcPr>
          <w:p w14:paraId="5CCF58B6" w14:textId="5F58F9B7" w:rsidR="007D50D8" w:rsidRDefault="00C42A25" w:rsidP="007D50D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29</w:t>
            </w:r>
          </w:p>
        </w:tc>
        <w:tc>
          <w:tcPr>
            <w:tcW w:w="8663" w:type="dxa"/>
          </w:tcPr>
          <w:p w14:paraId="198B23CC" w14:textId="59E6638C" w:rsidR="007D50D8" w:rsidRDefault="00C02E98" w:rsidP="007D50D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 xml:space="preserve">section on </w:t>
            </w:r>
            <w:r w:rsidRPr="00C02E98">
              <w:rPr>
                <w:sz w:val="22"/>
                <w:szCs w:val="22"/>
              </w:rPr>
              <w:t xml:space="preserve">Investment of assets for the portfolio as a whole </w:t>
            </w:r>
          </w:p>
        </w:tc>
      </w:tr>
      <w:tr w:rsidR="00C02E98" w:rsidRPr="00CD7BDF" w14:paraId="4EC2D8C8" w14:textId="77777777" w:rsidTr="002A1719">
        <w:trPr>
          <w:trHeight w:val="290"/>
        </w:trPr>
        <w:tc>
          <w:tcPr>
            <w:tcW w:w="697" w:type="dxa"/>
            <w:noWrap/>
          </w:tcPr>
          <w:p w14:paraId="0B003D4A" w14:textId="06818588" w:rsidR="00C02E98" w:rsidRDefault="00C02E98" w:rsidP="007D50D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3</w:t>
            </w:r>
            <w:r w:rsidR="00C42A25">
              <w:t>0</w:t>
            </w:r>
          </w:p>
        </w:tc>
        <w:tc>
          <w:tcPr>
            <w:tcW w:w="8663" w:type="dxa"/>
          </w:tcPr>
          <w:p w14:paraId="233BF8C1" w14:textId="31472E3F" w:rsidR="00C02E98" w:rsidRDefault="00C02E98" w:rsidP="007D50D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 xml:space="preserve">section on </w:t>
            </w:r>
            <w:r w:rsidRPr="00C02E98">
              <w:rPr>
                <w:sz w:val="22"/>
                <w:szCs w:val="22"/>
              </w:rPr>
              <w:t>Asset liability management</w:t>
            </w:r>
          </w:p>
        </w:tc>
      </w:tr>
      <w:tr w:rsidR="00C02E98" w:rsidRPr="00CD7BDF" w14:paraId="453112BA" w14:textId="77777777" w:rsidTr="002A1719">
        <w:trPr>
          <w:trHeight w:val="290"/>
        </w:trPr>
        <w:tc>
          <w:tcPr>
            <w:tcW w:w="697" w:type="dxa"/>
            <w:noWrap/>
          </w:tcPr>
          <w:p w14:paraId="2F0A975A" w14:textId="107E905B" w:rsidR="00C02E98" w:rsidRDefault="00C02E98" w:rsidP="007D50D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3</w:t>
            </w:r>
            <w:r w:rsidR="00C42A25">
              <w:t>1</w:t>
            </w:r>
          </w:p>
        </w:tc>
        <w:tc>
          <w:tcPr>
            <w:tcW w:w="8663" w:type="dxa"/>
          </w:tcPr>
          <w:p w14:paraId="445D2A6B" w14:textId="4B998FA8" w:rsidR="00C02E98" w:rsidRDefault="00C02E98" w:rsidP="007D50D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 xml:space="preserve">section on </w:t>
            </w:r>
            <w:r w:rsidRPr="00C02E98">
              <w:rPr>
                <w:sz w:val="22"/>
                <w:szCs w:val="22"/>
              </w:rPr>
              <w:t>Risk assessment and management of investments</w:t>
            </w:r>
          </w:p>
        </w:tc>
      </w:tr>
      <w:tr w:rsidR="00C02E98" w:rsidRPr="00CD7BDF" w14:paraId="7BD02304" w14:textId="77777777" w:rsidTr="00C02E98">
        <w:trPr>
          <w:trHeight w:val="290"/>
        </w:trPr>
        <w:tc>
          <w:tcPr>
            <w:tcW w:w="9360" w:type="dxa"/>
            <w:gridSpan w:val="2"/>
            <w:shd w:val="clear" w:color="auto" w:fill="D4EDF9" w:themeFill="accent1" w:themeFillTint="33"/>
            <w:noWrap/>
          </w:tcPr>
          <w:p w14:paraId="5FC0A03D" w14:textId="311E155D" w:rsidR="00C02E98" w:rsidRDefault="00C02E98" w:rsidP="00C02E98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7D50D8">
              <w:rPr>
                <w:b/>
                <w:bCs/>
              </w:rPr>
              <w:t>ICP</w:t>
            </w:r>
            <w:r>
              <w:rPr>
                <w:b/>
                <w:bCs/>
              </w:rPr>
              <w:t xml:space="preserve"> </w:t>
            </w:r>
            <w:r w:rsidRPr="000E391E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0E391E">
              <w:rPr>
                <w:b/>
                <w:bCs/>
              </w:rPr>
              <w:t xml:space="preserve"> (</w:t>
            </w:r>
            <w:r w:rsidRPr="007D50D8">
              <w:rPr>
                <w:b/>
                <w:bCs/>
              </w:rPr>
              <w:t>Enterprise Risk Management for Solvency Purposes</w:t>
            </w:r>
            <w:r w:rsidRPr="000E391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supporting material</w:t>
            </w:r>
          </w:p>
        </w:tc>
      </w:tr>
      <w:tr w:rsidR="00C02E98" w:rsidRPr="00CD7BDF" w14:paraId="3BAF8610" w14:textId="77777777" w:rsidTr="002A1719">
        <w:trPr>
          <w:trHeight w:val="290"/>
        </w:trPr>
        <w:tc>
          <w:tcPr>
            <w:tcW w:w="697" w:type="dxa"/>
            <w:noWrap/>
          </w:tcPr>
          <w:p w14:paraId="4CA5EB6A" w14:textId="6AA65206" w:rsidR="00C02E98" w:rsidRDefault="00C02E98" w:rsidP="00C02E9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3</w:t>
            </w:r>
            <w:r w:rsidR="00C42A25">
              <w:t>2</w:t>
            </w:r>
          </w:p>
        </w:tc>
        <w:tc>
          <w:tcPr>
            <w:tcW w:w="8663" w:type="dxa"/>
          </w:tcPr>
          <w:p w14:paraId="1445252A" w14:textId="7A33C5FD" w:rsidR="00C02E98" w:rsidRDefault="00C02E98" w:rsidP="00C02E9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General comments on the </w:t>
            </w:r>
            <w:r w:rsidRPr="00555D9C">
              <w:rPr>
                <w:sz w:val="22"/>
                <w:szCs w:val="22"/>
              </w:rPr>
              <w:t xml:space="preserve">proposed </w:t>
            </w:r>
            <w:r>
              <w:rPr>
                <w:sz w:val="22"/>
                <w:szCs w:val="22"/>
              </w:rPr>
              <w:t>additions</w:t>
            </w:r>
            <w:r w:rsidRPr="00555D9C">
              <w:rPr>
                <w:sz w:val="22"/>
                <w:szCs w:val="22"/>
              </w:rPr>
              <w:t xml:space="preserve"> </w:t>
            </w:r>
            <w:r w:rsidRPr="000E391E">
              <w:rPr>
                <w:sz w:val="22"/>
                <w:szCs w:val="22"/>
              </w:rPr>
              <w:t xml:space="preserve">to </w:t>
            </w:r>
            <w:r w:rsidRPr="00555D9C">
              <w:rPr>
                <w:sz w:val="22"/>
                <w:szCs w:val="22"/>
              </w:rPr>
              <w:t xml:space="preserve">reflect climate risk in </w:t>
            </w:r>
            <w:r w:rsidRPr="000E391E">
              <w:rPr>
                <w:sz w:val="22"/>
                <w:szCs w:val="22"/>
              </w:rPr>
              <w:t xml:space="preserve">existing supporting material related to </w:t>
            </w:r>
            <w:r>
              <w:rPr>
                <w:sz w:val="22"/>
                <w:szCs w:val="22"/>
              </w:rPr>
              <w:t>ICP 16 (</w:t>
            </w:r>
            <w:r w:rsidRPr="00555D9C">
              <w:rPr>
                <w:sz w:val="22"/>
                <w:szCs w:val="22"/>
              </w:rPr>
              <w:t>Enterprise Risk Management for Solvency Purposes</w:t>
            </w:r>
            <w:r>
              <w:rPr>
                <w:sz w:val="22"/>
                <w:szCs w:val="22"/>
              </w:rPr>
              <w:t>)</w:t>
            </w:r>
          </w:p>
        </w:tc>
      </w:tr>
      <w:tr w:rsidR="00C02E98" w:rsidRPr="00CD7BDF" w14:paraId="522F029E" w14:textId="77777777" w:rsidTr="002A1719">
        <w:trPr>
          <w:trHeight w:val="290"/>
        </w:trPr>
        <w:tc>
          <w:tcPr>
            <w:tcW w:w="697" w:type="dxa"/>
            <w:noWrap/>
          </w:tcPr>
          <w:p w14:paraId="676D300F" w14:textId="091EA09A" w:rsidR="00C02E98" w:rsidRDefault="00C42A25" w:rsidP="00C02E9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33</w:t>
            </w:r>
          </w:p>
        </w:tc>
        <w:tc>
          <w:tcPr>
            <w:tcW w:w="8663" w:type="dxa"/>
          </w:tcPr>
          <w:p w14:paraId="62D9A22A" w14:textId="7EF81F68" w:rsidR="00C02E98" w:rsidRPr="007D50D8" w:rsidRDefault="00C02E98" w:rsidP="00C02E9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 xml:space="preserve">section on </w:t>
            </w:r>
            <w:r w:rsidRPr="00C02E98">
              <w:rPr>
                <w:sz w:val="22"/>
                <w:szCs w:val="22"/>
              </w:rPr>
              <w:t xml:space="preserve">Risk </w:t>
            </w:r>
            <w:r>
              <w:rPr>
                <w:sz w:val="22"/>
                <w:szCs w:val="22"/>
              </w:rPr>
              <w:t>i</w:t>
            </w:r>
            <w:r w:rsidRPr="00C02E98">
              <w:rPr>
                <w:sz w:val="22"/>
                <w:szCs w:val="22"/>
              </w:rPr>
              <w:t xml:space="preserve">dentification </w:t>
            </w:r>
            <w:r>
              <w:rPr>
                <w:sz w:val="22"/>
                <w:szCs w:val="22"/>
              </w:rPr>
              <w:t>and m</w:t>
            </w:r>
            <w:r w:rsidRPr="00C02E98">
              <w:rPr>
                <w:sz w:val="22"/>
                <w:szCs w:val="22"/>
              </w:rPr>
              <w:t>easurement</w:t>
            </w:r>
          </w:p>
        </w:tc>
      </w:tr>
      <w:tr w:rsidR="00C02E98" w:rsidRPr="00CD7BDF" w14:paraId="09694E9B" w14:textId="77777777" w:rsidTr="002A1719">
        <w:trPr>
          <w:trHeight w:val="290"/>
        </w:trPr>
        <w:tc>
          <w:tcPr>
            <w:tcW w:w="697" w:type="dxa"/>
            <w:noWrap/>
          </w:tcPr>
          <w:p w14:paraId="762E1309" w14:textId="28A0F305" w:rsidR="00C02E98" w:rsidRDefault="00C42A25" w:rsidP="00C02E9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34</w:t>
            </w:r>
          </w:p>
        </w:tc>
        <w:tc>
          <w:tcPr>
            <w:tcW w:w="8663" w:type="dxa"/>
          </w:tcPr>
          <w:p w14:paraId="609D30E3" w14:textId="3C820124" w:rsidR="00C02E98" w:rsidRPr="007D50D8" w:rsidRDefault="00C02E98" w:rsidP="00C02E9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 xml:space="preserve">section on </w:t>
            </w:r>
            <w:r w:rsidRPr="00C02E98">
              <w:rPr>
                <w:sz w:val="22"/>
                <w:szCs w:val="22"/>
              </w:rPr>
              <w:t xml:space="preserve">Risk </w:t>
            </w:r>
            <w:r>
              <w:rPr>
                <w:sz w:val="22"/>
                <w:szCs w:val="22"/>
              </w:rPr>
              <w:t>concentrations</w:t>
            </w:r>
          </w:p>
        </w:tc>
      </w:tr>
      <w:tr w:rsidR="00C02E98" w:rsidRPr="00CD7BDF" w14:paraId="6FFC5F7E" w14:textId="77777777" w:rsidTr="002A1719">
        <w:trPr>
          <w:trHeight w:val="290"/>
        </w:trPr>
        <w:tc>
          <w:tcPr>
            <w:tcW w:w="697" w:type="dxa"/>
            <w:noWrap/>
          </w:tcPr>
          <w:p w14:paraId="11F7C6D8" w14:textId="189AA41C" w:rsidR="00C02E98" w:rsidRDefault="00C42A25" w:rsidP="00C02E9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35</w:t>
            </w:r>
          </w:p>
        </w:tc>
        <w:tc>
          <w:tcPr>
            <w:tcW w:w="8663" w:type="dxa"/>
          </w:tcPr>
          <w:p w14:paraId="69940E7A" w14:textId="50296374" w:rsidR="00C02E98" w:rsidRDefault="00C02E98" w:rsidP="00C02E9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section on Corporate strategy and time horizons</w:t>
            </w:r>
          </w:p>
        </w:tc>
      </w:tr>
      <w:tr w:rsidR="00C02E98" w:rsidRPr="00CD7BDF" w14:paraId="664C29EB" w14:textId="77777777" w:rsidTr="002A1719">
        <w:trPr>
          <w:trHeight w:val="290"/>
        </w:trPr>
        <w:tc>
          <w:tcPr>
            <w:tcW w:w="697" w:type="dxa"/>
            <w:noWrap/>
          </w:tcPr>
          <w:p w14:paraId="0BDD7263" w14:textId="6AF51F7D" w:rsidR="00C02E98" w:rsidRDefault="00C42A25" w:rsidP="00C02E9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36</w:t>
            </w:r>
          </w:p>
        </w:tc>
        <w:tc>
          <w:tcPr>
            <w:tcW w:w="8663" w:type="dxa"/>
          </w:tcPr>
          <w:p w14:paraId="4979F22B" w14:textId="72CD5A23" w:rsidR="00C02E98" w:rsidRPr="007D50D8" w:rsidRDefault="00C02E98" w:rsidP="00C02E9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section on Risk appetite and limits</w:t>
            </w:r>
          </w:p>
        </w:tc>
      </w:tr>
      <w:tr w:rsidR="00C02E98" w:rsidRPr="00CD7BDF" w14:paraId="2A885DD2" w14:textId="77777777" w:rsidTr="002A1719">
        <w:trPr>
          <w:trHeight w:val="290"/>
        </w:trPr>
        <w:tc>
          <w:tcPr>
            <w:tcW w:w="697" w:type="dxa"/>
            <w:noWrap/>
          </w:tcPr>
          <w:p w14:paraId="47DBDBBB" w14:textId="4A28EA91" w:rsidR="00C02E98" w:rsidRDefault="00C42A25" w:rsidP="00C02E9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37</w:t>
            </w:r>
          </w:p>
        </w:tc>
        <w:tc>
          <w:tcPr>
            <w:tcW w:w="8663" w:type="dxa"/>
          </w:tcPr>
          <w:p w14:paraId="588968DA" w14:textId="0C5EE637" w:rsidR="00C02E98" w:rsidRDefault="00C02E98" w:rsidP="00C02E9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section on Asset liability management</w:t>
            </w:r>
          </w:p>
        </w:tc>
      </w:tr>
      <w:tr w:rsidR="00C02E98" w:rsidRPr="00CD7BDF" w14:paraId="56323633" w14:textId="77777777" w:rsidTr="002A1719">
        <w:trPr>
          <w:trHeight w:val="290"/>
        </w:trPr>
        <w:tc>
          <w:tcPr>
            <w:tcW w:w="697" w:type="dxa"/>
            <w:noWrap/>
          </w:tcPr>
          <w:p w14:paraId="24E76F10" w14:textId="44580A0B" w:rsidR="00C02E98" w:rsidRDefault="00C42A25" w:rsidP="00C02E9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38</w:t>
            </w:r>
          </w:p>
        </w:tc>
        <w:tc>
          <w:tcPr>
            <w:tcW w:w="8663" w:type="dxa"/>
          </w:tcPr>
          <w:p w14:paraId="5D9C749B" w14:textId="10316500" w:rsidR="00C02E98" w:rsidRPr="007D50D8" w:rsidRDefault="00C02E98" w:rsidP="00C02E9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section on Investment policy</w:t>
            </w:r>
          </w:p>
        </w:tc>
      </w:tr>
      <w:tr w:rsidR="00C02E98" w:rsidRPr="00CD7BDF" w14:paraId="63115C6A" w14:textId="77777777" w:rsidTr="002A1719">
        <w:trPr>
          <w:trHeight w:val="290"/>
        </w:trPr>
        <w:tc>
          <w:tcPr>
            <w:tcW w:w="697" w:type="dxa"/>
            <w:noWrap/>
          </w:tcPr>
          <w:p w14:paraId="00870CB2" w14:textId="42452166" w:rsidR="00C02E98" w:rsidRDefault="00C42A25" w:rsidP="00C02E98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39</w:t>
            </w:r>
          </w:p>
        </w:tc>
        <w:tc>
          <w:tcPr>
            <w:tcW w:w="8663" w:type="dxa"/>
          </w:tcPr>
          <w:p w14:paraId="57FEBFCF" w14:textId="3DFBF994" w:rsidR="00C02E98" w:rsidRDefault="00C02E98" w:rsidP="00C02E98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7D50D8">
              <w:rPr>
                <w:sz w:val="22"/>
                <w:szCs w:val="22"/>
              </w:rPr>
              <w:t xml:space="preserve">Comments on </w:t>
            </w:r>
            <w:r>
              <w:rPr>
                <w:sz w:val="22"/>
                <w:szCs w:val="22"/>
              </w:rPr>
              <w:t>section on ORSAs</w:t>
            </w:r>
          </w:p>
        </w:tc>
      </w:tr>
    </w:tbl>
    <w:p w14:paraId="522AFBA5" w14:textId="40FA16E2" w:rsidR="00115BFD" w:rsidRPr="00AA718C" w:rsidRDefault="00115BFD" w:rsidP="00115BFD"/>
    <w:sectPr w:rsidR="00115BFD" w:rsidRPr="00AA718C" w:rsidSect="007A105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FF0" w14:textId="77777777" w:rsidR="00E055B6" w:rsidRDefault="00E055B6" w:rsidP="004309A5">
      <w:pPr>
        <w:spacing w:after="0" w:line="240" w:lineRule="auto"/>
      </w:pPr>
      <w:r>
        <w:separator/>
      </w:r>
    </w:p>
    <w:p w14:paraId="4D68ED10" w14:textId="77777777" w:rsidR="00E055B6" w:rsidRDefault="00E055B6"/>
  </w:endnote>
  <w:endnote w:type="continuationSeparator" w:id="0">
    <w:p w14:paraId="46505A3A" w14:textId="77777777" w:rsidR="00E055B6" w:rsidRDefault="00E055B6" w:rsidP="004309A5">
      <w:pPr>
        <w:spacing w:after="0" w:line="240" w:lineRule="auto"/>
      </w:pPr>
      <w:r>
        <w:continuationSeparator/>
      </w:r>
    </w:p>
    <w:p w14:paraId="13A22E4D" w14:textId="77777777" w:rsidR="00E055B6" w:rsidRDefault="00E055B6"/>
  </w:endnote>
  <w:endnote w:type="continuationNotice" w:id="1">
    <w:p w14:paraId="0662BC24" w14:textId="77777777" w:rsidR="00E055B6" w:rsidRDefault="00E05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14477C" w:rsidRPr="006F33C9" w14:paraId="6D4923AB" w14:textId="77777777" w:rsidTr="00DB63C6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35F2B82E" w14:textId="75676BC0" w:rsidR="00555D9C" w:rsidRPr="004321D2" w:rsidRDefault="004321D2" w:rsidP="00555D9C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4321D2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Questions for public consultation on proposed changes to reflect climate risk in selected ICP guidance and supporting material</w:t>
          </w:r>
          <w:r w:rsidR="00555D9C" w:rsidRPr="004321D2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</w:p>
        <w:p w14:paraId="192D2260" w14:textId="7A1162A8" w:rsidR="0014477C" w:rsidRPr="00BC65FE" w:rsidRDefault="00555D9C" w:rsidP="00555D9C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19 March 2024 – 19 June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38C6D47" w14:textId="77777777" w:rsidR="0014477C" w:rsidRPr="006F33C9" w:rsidRDefault="0014477C" w:rsidP="0014477C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77777777" w:rsidR="00A001AC" w:rsidRPr="006F33C9" w:rsidRDefault="00A001AC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8D2CCD" w:rsidRPr="00FE7272" w14:paraId="60F15857" w14:textId="77777777" w:rsidTr="00555D9C">
      <w:trPr>
        <w:cantSplit/>
        <w:trHeight w:val="164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099A3878" w14:textId="50A6A603" w:rsidR="00555D9C" w:rsidRPr="004321D2" w:rsidRDefault="004321D2" w:rsidP="00F02337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4321D2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Questions for public consultation on proposed changes to reflect climate risk in selected ICP guidance and supporting material</w:t>
          </w:r>
        </w:p>
        <w:p w14:paraId="1AB3CA5F" w14:textId="610FC1CD" w:rsidR="00A001AC" w:rsidRPr="00D5084D" w:rsidRDefault="00555D9C" w:rsidP="00F02337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19 March 2024</w:t>
          </w:r>
          <w:r w:rsidR="00F0233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–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19 June</w:t>
          </w:r>
          <w:r w:rsidR="00F0233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71FEAB" id="Rechteck 25" o:spid="_x0000_s1026" style="position:absolute;margin-left:958pt;margin-top:-107.15pt;width:57.6pt;height:62.4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C8C4" w14:textId="77777777" w:rsidR="00E055B6" w:rsidRDefault="00E055B6" w:rsidP="004309A5">
      <w:pPr>
        <w:spacing w:after="0" w:line="240" w:lineRule="auto"/>
      </w:pPr>
      <w:r>
        <w:separator/>
      </w:r>
    </w:p>
    <w:p w14:paraId="2380F4E6" w14:textId="77777777" w:rsidR="00E055B6" w:rsidRDefault="00E055B6"/>
  </w:footnote>
  <w:footnote w:type="continuationSeparator" w:id="0">
    <w:p w14:paraId="2142FA8A" w14:textId="77777777" w:rsidR="00E055B6" w:rsidRDefault="00E055B6" w:rsidP="004309A5">
      <w:pPr>
        <w:spacing w:after="0" w:line="240" w:lineRule="auto"/>
      </w:pPr>
      <w:r>
        <w:continuationSeparator/>
      </w:r>
    </w:p>
    <w:p w14:paraId="21923E8D" w14:textId="77777777" w:rsidR="00E055B6" w:rsidRDefault="00E055B6"/>
  </w:footnote>
  <w:footnote w:type="continuationNotice" w:id="1">
    <w:p w14:paraId="1345A266" w14:textId="77777777" w:rsidR="00E055B6" w:rsidRDefault="00E05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D3A0" w14:textId="218EED4D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1342" w14:textId="3BBB4D30" w:rsidR="007A1058" w:rsidRPr="007A1058" w:rsidRDefault="007A1058" w:rsidP="007A1058">
    <w:pPr>
      <w:pStyle w:val="Header"/>
    </w:pPr>
    <w:bookmarkStart w:id="9" w:name="_Hlk107762318"/>
    <w:bookmarkStart w:id="10" w:name="_Hlk107762319"/>
    <w:bookmarkStart w:id="11" w:name="_Hlk107762334"/>
    <w:bookmarkStart w:id="12" w:name="_Hlk107762335"/>
    <w:bookmarkStart w:id="13" w:name="_Hlk107762336"/>
    <w:bookmarkStart w:id="14" w:name="_Hlk107762337"/>
    <w:bookmarkStart w:id="15" w:name="_Hlk107762338"/>
    <w:bookmarkStart w:id="16" w:name="_Hlk107762339"/>
    <w:bookmarkStart w:id="17" w:name="_Hlk107762341"/>
    <w:bookmarkStart w:id="18" w:name="_Hlk107762342"/>
    <w:bookmarkStart w:id="19" w:name="_Hlk107762343"/>
    <w:bookmarkStart w:id="20" w:name="_Hlk107762344"/>
    <w:bookmarkStart w:id="21" w:name="_Hlk107762470"/>
    <w:bookmarkStart w:id="22" w:name="_Hlk107762471"/>
    <w:bookmarkStart w:id="23" w:name="_Hlk107762473"/>
    <w:bookmarkStart w:id="24" w:name="_Hlk107762474"/>
    <w:bookmarkStart w:id="25" w:name="_Hlk107762484"/>
    <w:bookmarkStart w:id="26" w:name="_Hlk107762485"/>
    <w:bookmarkStart w:id="27" w:name="_Hlk111800973"/>
    <w:bookmarkStart w:id="28" w:name="_Hlk111800974"/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bookmarkEnd w:id="27"/>
  <w:bookmarkEnd w:id="28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07B"/>
    <w:multiLevelType w:val="hybridMultilevel"/>
    <w:tmpl w:val="31E4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66B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20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00EA7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B28F1"/>
    <w:multiLevelType w:val="multilevel"/>
    <w:tmpl w:val="13146CE4"/>
    <w:numStyleLink w:val="IAISnumberedlist"/>
  </w:abstractNum>
  <w:abstractNum w:abstractNumId="25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66342A8"/>
    <w:multiLevelType w:val="multilevel"/>
    <w:tmpl w:val="E53AA5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0"/>
        <w:szCs w:val="3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2C5D40"/>
    <w:multiLevelType w:val="multilevel"/>
    <w:tmpl w:val="13146CE4"/>
    <w:numStyleLink w:val="IAISnumberedlist"/>
  </w:abstractNum>
  <w:abstractNum w:abstractNumId="35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631">
    <w:abstractNumId w:val="5"/>
  </w:num>
  <w:num w:numId="2" w16cid:durableId="740106675">
    <w:abstractNumId w:val="9"/>
  </w:num>
  <w:num w:numId="3" w16cid:durableId="1554849046">
    <w:abstractNumId w:val="36"/>
  </w:num>
  <w:num w:numId="4" w16cid:durableId="491801228">
    <w:abstractNumId w:val="20"/>
  </w:num>
  <w:num w:numId="5" w16cid:durableId="1653362555">
    <w:abstractNumId w:val="0"/>
  </w:num>
  <w:num w:numId="6" w16cid:durableId="1188524216">
    <w:abstractNumId w:val="24"/>
  </w:num>
  <w:num w:numId="7" w16cid:durableId="1896046096">
    <w:abstractNumId w:val="33"/>
  </w:num>
  <w:num w:numId="8" w16cid:durableId="1298144107">
    <w:abstractNumId w:val="19"/>
  </w:num>
  <w:num w:numId="9" w16cid:durableId="320352546">
    <w:abstractNumId w:val="7"/>
  </w:num>
  <w:num w:numId="10" w16cid:durableId="1700207105">
    <w:abstractNumId w:val="22"/>
  </w:num>
  <w:num w:numId="11" w16cid:durableId="637146475">
    <w:abstractNumId w:val="30"/>
  </w:num>
  <w:num w:numId="12" w16cid:durableId="23555840">
    <w:abstractNumId w:val="37"/>
  </w:num>
  <w:num w:numId="13" w16cid:durableId="1223904716">
    <w:abstractNumId w:val="7"/>
    <w:lvlOverride w:ilvl="0">
      <w:startOverride w:val="1"/>
    </w:lvlOverride>
  </w:num>
  <w:num w:numId="14" w16cid:durableId="1497647408">
    <w:abstractNumId w:val="7"/>
    <w:lvlOverride w:ilvl="0">
      <w:startOverride w:val="1"/>
    </w:lvlOverride>
  </w:num>
  <w:num w:numId="15" w16cid:durableId="975646841">
    <w:abstractNumId w:val="8"/>
  </w:num>
  <w:num w:numId="16" w16cid:durableId="1934580977">
    <w:abstractNumId w:val="4"/>
  </w:num>
  <w:num w:numId="17" w16cid:durableId="49498567">
    <w:abstractNumId w:val="27"/>
  </w:num>
  <w:num w:numId="18" w16cid:durableId="1430196376">
    <w:abstractNumId w:val="10"/>
  </w:num>
  <w:num w:numId="19" w16cid:durableId="1509323048">
    <w:abstractNumId w:val="2"/>
  </w:num>
  <w:num w:numId="20" w16cid:durableId="1416584604">
    <w:abstractNumId w:val="34"/>
  </w:num>
  <w:num w:numId="21" w16cid:durableId="846137948">
    <w:abstractNumId w:val="6"/>
  </w:num>
  <w:num w:numId="22" w16cid:durableId="1154878266">
    <w:abstractNumId w:val="32"/>
  </w:num>
  <w:num w:numId="23" w16cid:durableId="1755197833">
    <w:abstractNumId w:val="31"/>
  </w:num>
  <w:num w:numId="24" w16cid:durableId="1941715826">
    <w:abstractNumId w:val="13"/>
  </w:num>
  <w:num w:numId="25" w16cid:durableId="2045211716">
    <w:abstractNumId w:val="12"/>
  </w:num>
  <w:num w:numId="26" w16cid:durableId="1332366288">
    <w:abstractNumId w:val="35"/>
  </w:num>
  <w:num w:numId="27" w16cid:durableId="1927612661">
    <w:abstractNumId w:val="21"/>
  </w:num>
  <w:num w:numId="28" w16cid:durableId="1412964571">
    <w:abstractNumId w:val="31"/>
    <w:lvlOverride w:ilvl="0">
      <w:startOverride w:val="1"/>
    </w:lvlOverride>
  </w:num>
  <w:num w:numId="29" w16cid:durableId="392898414">
    <w:abstractNumId w:val="11"/>
  </w:num>
  <w:num w:numId="30" w16cid:durableId="1271663999">
    <w:abstractNumId w:val="25"/>
  </w:num>
  <w:num w:numId="31" w16cid:durableId="368607102">
    <w:abstractNumId w:val="3"/>
  </w:num>
  <w:num w:numId="32" w16cid:durableId="251356666">
    <w:abstractNumId w:val="16"/>
  </w:num>
  <w:num w:numId="33" w16cid:durableId="1248618538">
    <w:abstractNumId w:val="14"/>
  </w:num>
  <w:num w:numId="34" w16cid:durableId="1461149664">
    <w:abstractNumId w:val="15"/>
  </w:num>
  <w:num w:numId="35" w16cid:durableId="1998534574">
    <w:abstractNumId w:val="29"/>
  </w:num>
  <w:num w:numId="36" w16cid:durableId="1136067967">
    <w:abstractNumId w:val="1"/>
  </w:num>
  <w:num w:numId="37" w16cid:durableId="6828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097573">
    <w:abstractNumId w:val="26"/>
  </w:num>
  <w:num w:numId="39" w16cid:durableId="1477214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172394">
    <w:abstractNumId w:val="17"/>
  </w:num>
  <w:num w:numId="41" w16cid:durableId="2133353945">
    <w:abstractNumId w:val="18"/>
  </w:num>
  <w:num w:numId="42" w16cid:durableId="1846242939">
    <w:abstractNumId w:val="23"/>
  </w:num>
  <w:num w:numId="43" w16cid:durableId="10073677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129AE"/>
    <w:rsid w:val="00024A4B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B2079"/>
    <w:rsid w:val="000C18E0"/>
    <w:rsid w:val="000D78BB"/>
    <w:rsid w:val="000E391E"/>
    <w:rsid w:val="000F1D9D"/>
    <w:rsid w:val="000F42BF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A25D1"/>
    <w:rsid w:val="00200C09"/>
    <w:rsid w:val="002139D1"/>
    <w:rsid w:val="0021640B"/>
    <w:rsid w:val="002230E8"/>
    <w:rsid w:val="00233E79"/>
    <w:rsid w:val="002463AD"/>
    <w:rsid w:val="002506B5"/>
    <w:rsid w:val="002668CA"/>
    <w:rsid w:val="002704D6"/>
    <w:rsid w:val="00291BB8"/>
    <w:rsid w:val="00293091"/>
    <w:rsid w:val="002A1719"/>
    <w:rsid w:val="002B5032"/>
    <w:rsid w:val="002E2E35"/>
    <w:rsid w:val="003216F5"/>
    <w:rsid w:val="0034072D"/>
    <w:rsid w:val="00343EE0"/>
    <w:rsid w:val="00344DC0"/>
    <w:rsid w:val="003577F6"/>
    <w:rsid w:val="003636D3"/>
    <w:rsid w:val="00377228"/>
    <w:rsid w:val="00380750"/>
    <w:rsid w:val="00394A78"/>
    <w:rsid w:val="003A1197"/>
    <w:rsid w:val="003B0208"/>
    <w:rsid w:val="003B16A6"/>
    <w:rsid w:val="003B66EF"/>
    <w:rsid w:val="003C6821"/>
    <w:rsid w:val="003D2E55"/>
    <w:rsid w:val="003E75AA"/>
    <w:rsid w:val="004049F4"/>
    <w:rsid w:val="004309A5"/>
    <w:rsid w:val="004321D2"/>
    <w:rsid w:val="00433E25"/>
    <w:rsid w:val="00451E86"/>
    <w:rsid w:val="00461767"/>
    <w:rsid w:val="00461D5F"/>
    <w:rsid w:val="0049557E"/>
    <w:rsid w:val="004A4DF5"/>
    <w:rsid w:val="004A6A3C"/>
    <w:rsid w:val="004C5F57"/>
    <w:rsid w:val="004D21C1"/>
    <w:rsid w:val="004D24EF"/>
    <w:rsid w:val="004E1FA0"/>
    <w:rsid w:val="004E2460"/>
    <w:rsid w:val="004E7401"/>
    <w:rsid w:val="004F450E"/>
    <w:rsid w:val="004F75D3"/>
    <w:rsid w:val="00501065"/>
    <w:rsid w:val="005247B3"/>
    <w:rsid w:val="00540DBC"/>
    <w:rsid w:val="00545E83"/>
    <w:rsid w:val="00551CFA"/>
    <w:rsid w:val="00555D9C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46815"/>
    <w:rsid w:val="00657D75"/>
    <w:rsid w:val="00657F22"/>
    <w:rsid w:val="00677764"/>
    <w:rsid w:val="00694FB4"/>
    <w:rsid w:val="006B058B"/>
    <w:rsid w:val="006B1230"/>
    <w:rsid w:val="006C378E"/>
    <w:rsid w:val="006D40E7"/>
    <w:rsid w:val="006E1B30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673C5"/>
    <w:rsid w:val="00767D7C"/>
    <w:rsid w:val="007710EC"/>
    <w:rsid w:val="007717E0"/>
    <w:rsid w:val="00776CB3"/>
    <w:rsid w:val="00781070"/>
    <w:rsid w:val="00791C24"/>
    <w:rsid w:val="007A1058"/>
    <w:rsid w:val="007A34AB"/>
    <w:rsid w:val="007B5466"/>
    <w:rsid w:val="007D2AD2"/>
    <w:rsid w:val="007D50D8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64DC2"/>
    <w:rsid w:val="00866906"/>
    <w:rsid w:val="0087024F"/>
    <w:rsid w:val="00875978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367FD"/>
    <w:rsid w:val="0094163C"/>
    <w:rsid w:val="00961963"/>
    <w:rsid w:val="00964C1B"/>
    <w:rsid w:val="0098545C"/>
    <w:rsid w:val="00985A76"/>
    <w:rsid w:val="00986827"/>
    <w:rsid w:val="0098791B"/>
    <w:rsid w:val="009B28B3"/>
    <w:rsid w:val="009B4953"/>
    <w:rsid w:val="009C2FDE"/>
    <w:rsid w:val="009D2E6F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86BE7"/>
    <w:rsid w:val="00AA359F"/>
    <w:rsid w:val="00AA718C"/>
    <w:rsid w:val="00AB1378"/>
    <w:rsid w:val="00AE2176"/>
    <w:rsid w:val="00AF792A"/>
    <w:rsid w:val="00B02B66"/>
    <w:rsid w:val="00B3190D"/>
    <w:rsid w:val="00B345C9"/>
    <w:rsid w:val="00B37BFF"/>
    <w:rsid w:val="00B631B3"/>
    <w:rsid w:val="00B90DE4"/>
    <w:rsid w:val="00BA0174"/>
    <w:rsid w:val="00BC18F2"/>
    <w:rsid w:val="00BC65FE"/>
    <w:rsid w:val="00BE2D8F"/>
    <w:rsid w:val="00BE3FFB"/>
    <w:rsid w:val="00BF2AC8"/>
    <w:rsid w:val="00C02E98"/>
    <w:rsid w:val="00C055A7"/>
    <w:rsid w:val="00C13028"/>
    <w:rsid w:val="00C34740"/>
    <w:rsid w:val="00C351AA"/>
    <w:rsid w:val="00C4104E"/>
    <w:rsid w:val="00C42A25"/>
    <w:rsid w:val="00C43DC6"/>
    <w:rsid w:val="00C52CBE"/>
    <w:rsid w:val="00C61824"/>
    <w:rsid w:val="00C8261B"/>
    <w:rsid w:val="00CB474B"/>
    <w:rsid w:val="00CC381B"/>
    <w:rsid w:val="00CD7BDF"/>
    <w:rsid w:val="00CE5E38"/>
    <w:rsid w:val="00CE6B7B"/>
    <w:rsid w:val="00CF1B13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B2F8B"/>
    <w:rsid w:val="00DC185B"/>
    <w:rsid w:val="00DE495B"/>
    <w:rsid w:val="00DF07F9"/>
    <w:rsid w:val="00DF2B1B"/>
    <w:rsid w:val="00DF38AC"/>
    <w:rsid w:val="00E055B6"/>
    <w:rsid w:val="00E22226"/>
    <w:rsid w:val="00E2602B"/>
    <w:rsid w:val="00E2618B"/>
    <w:rsid w:val="00E33350"/>
    <w:rsid w:val="00E34B57"/>
    <w:rsid w:val="00E4302E"/>
    <w:rsid w:val="00E56E50"/>
    <w:rsid w:val="00E670E4"/>
    <w:rsid w:val="00E92F2E"/>
    <w:rsid w:val="00EA23C9"/>
    <w:rsid w:val="00EB0D1C"/>
    <w:rsid w:val="00ED779B"/>
    <w:rsid w:val="00EE2B92"/>
    <w:rsid w:val="00F014EE"/>
    <w:rsid w:val="00F02337"/>
    <w:rsid w:val="00F15F0E"/>
    <w:rsid w:val="00F265B2"/>
    <w:rsid w:val="00F57F64"/>
    <w:rsid w:val="00F73B13"/>
    <w:rsid w:val="00F85980"/>
    <w:rsid w:val="00F94153"/>
    <w:rsid w:val="00F9508A"/>
    <w:rsid w:val="00FA7103"/>
    <w:rsid w:val="00FB57E9"/>
    <w:rsid w:val="00FC0982"/>
    <w:rsid w:val="00FC129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,Heading 2 IAIS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,Heading 3 IAIS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aliases w:val="Heading 4 IAIS - numbering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10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10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,Heading 2 IAIS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,Heading 3 IAIS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aliases w:val="Heading 4 IAIS - numbering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  <w:style w:type="paragraph" w:customStyle="1" w:styleId="Default">
    <w:name w:val="Default"/>
    <w:rsid w:val="006E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828146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9443c63d-9fad-4cac-a47c-1231fd255b2b</TermId>
        </TermInfo>
        <TermInfo xmlns="http://schemas.microsoft.com/office/infopath/2007/PartnerControls">
          <TermName xmlns="http://schemas.microsoft.com/office/infopath/2007/PartnerControls">Application Paper</TermName>
          <TermId xmlns="http://schemas.microsoft.com/office/infopath/2007/PartnerControls">3cd9ca2b-e9c2-4f0a-9fd4-eaa1a5c3fac5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270</Value>
      <Value>114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506861d9-2daa-4c67-8ef5-c4dc83eb9090-0.9</_dlc_DocId>
    <_dlc_DocIdUrl xmlns="d4622e8b-ae39-4084-a6ef-0989140e3fa8">
      <Url>https://sp.bisinfo.org/teams/iais/crsg/_layouts/15/DocIdRedir.aspx?ID=506861d9-2daa-4c67-8ef5-c4dc83eb9090-0.9</Url>
      <Description>506861d9-2daa-4c67-8ef5-c4dc83eb9090-0.9</Description>
    </_dlc_DocIdUrl>
    <BisAdditionalLinks xmlns="8c0ea0fc-3859-43ab-a58d-c6cad79313dd" xsi:nil="true"/>
    <BisDocumentDate xmlns="8c0ea0fc-3859-43ab-a58d-c6cad79313dd">2022-10-11T22:00:00+00:00</BisDocumentDate>
    <BisRecipientsTaxHTField0 xmlns="8c0ea0fc-3859-43ab-a58d-c6cad79313dd">
      <Terms xmlns="http://schemas.microsoft.com/office/infopath/2007/PartnerControls"/>
    </BisRecipientsTaxHTField0>
    <BisTransmission xmlns="8c0ea0fc-3859-43ab-a58d-c6cad79313dd">Internal</BisTransmission>
    <BisRetention xmlns="8c0ea0fc-3859-43ab-a58d-c6cad79313dd">Permanent</BisRetention>
    <IsMyDocuments xmlns="8c0ea0fc-3859-43ab-a58d-c6cad79313dd">false</IsMyDocuments>
    <BisConfidentiality xmlns="8c0ea0fc-3859-43ab-a58d-c6cad79313dd">Public</BisConfidentiality>
    <BisInstitutionTaxHTField0 xmlns="8c0ea0fc-3859-43ab-a58d-c6cad79313dd">
      <Terms xmlns="http://schemas.microsoft.com/office/infopath/2007/PartnerControls"/>
    </BisInstitutionTaxHTField0>
    <BisPermalink xmlns="8c0ea0fc-3859-43ab-a58d-c6cad79313dd">
      <Url xsi:nil="true"/>
      <Description xsi:nil="true"/>
    </BisPermalink>
    <BisCurrentVersion xmlns="8c0ea0fc-3859-43ab-a58d-c6cad79313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7C54362165A1D346B8A59930A91F10B8" ma:contentTypeVersion="59" ma:contentTypeDescription="" ma:contentTypeScope="" ma:versionID="4b396921371e52975a107d513bf7306a">
  <xsd:schema xmlns:xsd="http://www.w3.org/2001/XMLSchema" xmlns:xs="http://www.w3.org/2001/XMLSchema" xmlns:p="http://schemas.microsoft.com/office/2006/metadata/properties" xmlns:ns1="http://schemas.microsoft.com/sharepoint/v3" xmlns:ns2="8c0ea0fc-3859-43ab-a58d-c6cad79313dd" xmlns:ns3="d4622e8b-ae39-4084-a6ef-0989140e3fa8" xmlns:ns4="http://schemas.microsoft.com/sharepoint/v4" xmlns:ns5="http://schemas.microsoft.com/sharepoint/v3/fields" targetNamespace="http://schemas.microsoft.com/office/2006/metadata/properties" ma:root="true" ma:fieldsID="7c6cb4c16c16ce3a1c723f8b04cc9390" ns1:_="" ns2:_="" ns3:_="" ns4:_="" ns5:_="">
    <xsd:import namespace="http://schemas.microsoft.com/sharepoint/v3"/>
    <xsd:import namespace="8c0ea0fc-3859-43ab-a58d-c6cad79313dd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ea0fc-3859-43ab-a58d-c6cad79313dd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hidden="true" ma:internalName="Date_x0020_Circulated" ma:readOnly="false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hidden="true" ma:list="UserInfo" ma:SharePointGroup="0" ma:internalName="Sen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readOnly="false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readOnly="false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Props1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6AD340-25AE-4D46-A09C-D02DAF0AB2B7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sharepoint/v3/fields"/>
    <ds:schemaRef ds:uri="d4622e8b-ae39-4084-a6ef-0989140e3fa8"/>
    <ds:schemaRef ds:uri="8c0ea0fc-3859-43ab-a58d-c6cad79313dd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324515-6AC1-479B-B24A-432631D3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ea0fc-3859-43ab-a58d-c6cad79313dd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Lazhare.Bouldi@bis.org</dc:creator>
  <cp:keywords/>
  <dc:description/>
  <cp:lastModifiedBy>Kakkattu, Linta</cp:lastModifiedBy>
  <cp:revision>2</cp:revision>
  <dcterms:created xsi:type="dcterms:W3CDTF">2024-03-19T08:58:00Z</dcterms:created>
  <dcterms:modified xsi:type="dcterms:W3CDTF">2024-03-19T08:58:00Z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0x01010066E6577C753B40CABFD9C9409CB523E500C1639B71ACB2EC4FB0B8C8831EACAA9F007C54362165A1D346B8A59930A91F10B8</vt:lpwstr>
  </property>
  <property fmtid="{D5CDD505-2E9C-101B-9397-08002B2CF9AE}" pid="10" name="TaxKeyword">
    <vt:lpwstr/>
  </property>
  <property fmtid="{D5CDD505-2E9C-101B-9397-08002B2CF9AE}" pid="11" name="BISThematicTag">
    <vt:lpwstr>114;#Climate Change|9443c63d-9fad-4cac-a47c-1231fd255b2b;#270;#Application Paper|3cd9ca2b-e9c2-4f0a-9fd4-eaa1a5c3fac5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0a1d8c73-ec58-4b3b-84e0-a61dd50ae66b</vt:lpwstr>
  </property>
  <property fmtid="{D5CDD505-2E9C-101B-9397-08002B2CF9AE}" pid="23" name="IAIS Core Principles">
    <vt:lpwstr/>
  </property>
  <property fmtid="{D5CDD505-2E9C-101B-9397-08002B2CF9AE}" pid="24" name="Hosting Institution">
    <vt:lpwstr/>
  </property>
  <property fmtid="{D5CDD505-2E9C-101B-9397-08002B2CF9AE}" pid="25" name="b03fdfab73244cfa8811b948d04b7e54">
    <vt:lpwstr/>
  </property>
  <property fmtid="{D5CDD505-2E9C-101B-9397-08002B2CF9AE}" pid="26" name="ec0bd0a502e44f6088b526bb0887fa61">
    <vt:lpwstr/>
  </property>
  <property fmtid="{D5CDD505-2E9C-101B-9397-08002B2CF9AE}" pid="27" name="IAIS Event">
    <vt:lpwstr/>
  </property>
  <property fmtid="{D5CDD505-2E9C-101B-9397-08002B2CF9AE}" pid="28" name="k0ea4bf975c14f1a8b37d00589fba0b1">
    <vt:lpwstr/>
  </property>
  <property fmtid="{D5CDD505-2E9C-101B-9397-08002B2CF9AE}" pid="29" name="IAIS Groups and Units">
    <vt:lpwstr/>
  </property>
  <property fmtid="{D5CDD505-2E9C-101B-9397-08002B2CF9AE}" pid="30" name="ifa1286719f3472c84c3874ed7e001be">
    <vt:lpwstr/>
  </property>
  <property fmtid="{D5CDD505-2E9C-101B-9397-08002B2CF9AE}" pid="31" name="Hosting Unit-">
    <vt:lpwstr/>
  </property>
  <property fmtid="{D5CDD505-2E9C-101B-9397-08002B2CF9AE}" pid="32" name="c471e98e2e494337a8a8a8c872125b4d">
    <vt:lpwstr/>
  </property>
  <property fmtid="{D5CDD505-2E9C-101B-9397-08002B2CF9AE}" pid="33" name="j185888639984cc08f48d5c44c07baca">
    <vt:lpwstr/>
  </property>
  <property fmtid="{D5CDD505-2E9C-101B-9397-08002B2CF9AE}" pid="34" name="IAIS Frequency">
    <vt:lpwstr/>
  </property>
</Properties>
</file>